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C7799B" w14:textId="2BDF5247" w:rsidR="00255C9F" w:rsidRPr="00AF425C" w:rsidRDefault="00380F39" w:rsidP="00AF6479">
      <w:pPr>
        <w:jc w:val="right"/>
        <w:rPr>
          <w:b/>
        </w:rPr>
      </w:pPr>
      <w:r w:rsidRPr="00AF425C">
        <w:rPr>
          <w:b/>
        </w:rPr>
        <w:t>16.04</w:t>
      </w:r>
      <w:r w:rsidR="00255C9F" w:rsidRPr="00AF425C">
        <w:rPr>
          <w:b/>
        </w:rPr>
        <w:t>.2021</w:t>
      </w:r>
    </w:p>
    <w:p w14:paraId="2B7C25C5" w14:textId="77777777" w:rsidR="00130624" w:rsidRPr="00AF425C" w:rsidRDefault="00130624" w:rsidP="00FF1C80">
      <w:pPr>
        <w:jc w:val="both"/>
        <w:rPr>
          <w:b/>
        </w:rPr>
      </w:pPr>
    </w:p>
    <w:p w14:paraId="6316F417" w14:textId="77777777" w:rsidR="00130624" w:rsidRPr="00AF425C" w:rsidRDefault="00130624" w:rsidP="00AF6479">
      <w:pPr>
        <w:shd w:val="clear" w:color="auto" w:fill="1B56AD"/>
        <w:jc w:val="center"/>
        <w:rPr>
          <w:b/>
          <w:color w:val="FFFFFF" w:themeColor="background1"/>
        </w:rPr>
      </w:pPr>
      <w:r w:rsidRPr="00AF425C">
        <w:rPr>
          <w:b/>
          <w:color w:val="FFFFFF" w:themeColor="background1"/>
        </w:rPr>
        <w:t>BİLGİ NOTU</w:t>
      </w:r>
    </w:p>
    <w:p w14:paraId="21FF8827" w14:textId="548FA815" w:rsidR="00130624" w:rsidRDefault="00130624" w:rsidP="00AF6479">
      <w:pPr>
        <w:jc w:val="center"/>
        <w:rPr>
          <w:b/>
        </w:rPr>
      </w:pPr>
    </w:p>
    <w:p w14:paraId="26300CDD" w14:textId="77777777" w:rsidR="00AF6479" w:rsidRPr="00AF425C" w:rsidRDefault="00AF6479" w:rsidP="00AF6479">
      <w:pPr>
        <w:jc w:val="center"/>
        <w:rPr>
          <w:b/>
        </w:rPr>
      </w:pPr>
    </w:p>
    <w:p w14:paraId="768F3B69" w14:textId="1C6A4EF5" w:rsidR="00D57110" w:rsidRDefault="00D57110" w:rsidP="00AF6479">
      <w:pPr>
        <w:pStyle w:val="Balk1"/>
        <w:spacing w:before="0"/>
        <w:jc w:val="center"/>
        <w:rPr>
          <w:rFonts w:ascii="Times New Roman" w:hAnsi="Times New Roman" w:cs="Times New Roman"/>
          <w:b/>
          <w:bCs/>
          <w:sz w:val="28"/>
          <w:szCs w:val="28"/>
        </w:rPr>
      </w:pPr>
      <w:r w:rsidRPr="00AF425C">
        <w:rPr>
          <w:rFonts w:ascii="Times New Roman" w:hAnsi="Times New Roman" w:cs="Times New Roman"/>
          <w:b/>
          <w:bCs/>
          <w:sz w:val="28"/>
          <w:szCs w:val="28"/>
        </w:rPr>
        <w:t>KONU</w:t>
      </w:r>
    </w:p>
    <w:p w14:paraId="3563CA39" w14:textId="77777777" w:rsidR="00AF6479" w:rsidRPr="00AF6479" w:rsidRDefault="00AF6479" w:rsidP="00AF6479"/>
    <w:p w14:paraId="3EE391B7" w14:textId="5CDA7EBC" w:rsidR="00720B67" w:rsidRPr="00AF425C" w:rsidRDefault="00297CF3" w:rsidP="00FF1C80">
      <w:pPr>
        <w:jc w:val="both"/>
        <w:rPr>
          <w:bCs/>
        </w:rPr>
      </w:pPr>
      <w:r w:rsidRPr="00AF425C">
        <w:t xml:space="preserve">16 Nisan 2021 Cuma günü Merkez Bankası tarafından </w:t>
      </w:r>
      <w:r w:rsidR="00816C98" w:rsidRPr="00AF425C">
        <w:t>Resmî</w:t>
      </w:r>
      <w:r w:rsidRPr="00AF425C">
        <w:t xml:space="preserve"> </w:t>
      </w:r>
      <w:r w:rsidR="00D9246D" w:rsidRPr="00AF425C">
        <w:t>Gazete’de</w:t>
      </w:r>
      <w:r w:rsidRPr="00AF425C">
        <w:t xml:space="preserve"> Kripto Varlıkların Kullanılmamasına Dair Yönetmelik hakkında incelemeler içermektedir.</w:t>
      </w:r>
    </w:p>
    <w:p w14:paraId="49660CF8" w14:textId="77777777" w:rsidR="00AF6479" w:rsidRDefault="00AF6479" w:rsidP="00FF1C80">
      <w:pPr>
        <w:pStyle w:val="Balk1"/>
        <w:spacing w:before="0"/>
        <w:jc w:val="both"/>
        <w:rPr>
          <w:rFonts w:ascii="Times New Roman" w:hAnsi="Times New Roman" w:cs="Times New Roman"/>
          <w:b/>
          <w:bCs/>
          <w:sz w:val="28"/>
          <w:szCs w:val="28"/>
        </w:rPr>
      </w:pPr>
    </w:p>
    <w:p w14:paraId="2AE2B1C3" w14:textId="39172EAA" w:rsidR="00D57110" w:rsidRPr="00AF425C" w:rsidRDefault="00D57110" w:rsidP="00AF6479">
      <w:pPr>
        <w:pStyle w:val="Balk1"/>
        <w:spacing w:before="0"/>
        <w:jc w:val="center"/>
        <w:rPr>
          <w:rFonts w:ascii="Times New Roman" w:hAnsi="Times New Roman" w:cs="Times New Roman"/>
          <w:b/>
          <w:bCs/>
          <w:sz w:val="28"/>
          <w:szCs w:val="28"/>
        </w:rPr>
      </w:pPr>
      <w:r w:rsidRPr="00AF425C">
        <w:rPr>
          <w:rFonts w:ascii="Times New Roman" w:hAnsi="Times New Roman" w:cs="Times New Roman"/>
          <w:b/>
          <w:bCs/>
          <w:sz w:val="28"/>
          <w:szCs w:val="28"/>
        </w:rPr>
        <w:t>AÇIKLAMALAR</w:t>
      </w:r>
    </w:p>
    <w:p w14:paraId="4AEBA486" w14:textId="77777777" w:rsidR="00E31268" w:rsidRPr="00AF425C" w:rsidRDefault="00E31268" w:rsidP="00FF1C80">
      <w:pPr>
        <w:jc w:val="both"/>
      </w:pPr>
    </w:p>
    <w:p w14:paraId="7AEBE431" w14:textId="6C1B62B9" w:rsidR="00591D48" w:rsidRPr="00AF425C" w:rsidRDefault="00CC5344" w:rsidP="00FF1C80">
      <w:pPr>
        <w:pStyle w:val="Balk2"/>
        <w:numPr>
          <w:ilvl w:val="0"/>
          <w:numId w:val="11"/>
        </w:numPr>
        <w:spacing w:before="0"/>
        <w:jc w:val="both"/>
        <w:rPr>
          <w:rFonts w:ascii="Times New Roman" w:hAnsi="Times New Roman" w:cs="Times New Roman"/>
          <w:b/>
          <w:bCs/>
          <w:sz w:val="24"/>
          <w:szCs w:val="24"/>
        </w:rPr>
      </w:pPr>
      <w:r w:rsidRPr="00AF425C">
        <w:rPr>
          <w:rFonts w:ascii="Times New Roman" w:hAnsi="Times New Roman" w:cs="Times New Roman"/>
          <w:b/>
          <w:bCs/>
          <w:sz w:val="24"/>
          <w:szCs w:val="24"/>
        </w:rPr>
        <w:t>KRİPTO PARA KAVRAMI</w:t>
      </w:r>
    </w:p>
    <w:p w14:paraId="22B770BD" w14:textId="77777777" w:rsidR="00E17960" w:rsidRPr="00AF425C" w:rsidRDefault="00E17960" w:rsidP="00FF1C80">
      <w:pPr>
        <w:pStyle w:val="NormalWeb"/>
        <w:spacing w:before="0" w:beforeAutospacing="0" w:after="0" w:afterAutospacing="0"/>
        <w:jc w:val="both"/>
      </w:pPr>
    </w:p>
    <w:p w14:paraId="2998F4BC" w14:textId="2345855D" w:rsidR="000A21A8" w:rsidRPr="00AF425C" w:rsidRDefault="00CC5344" w:rsidP="00FF1C80">
      <w:pPr>
        <w:pStyle w:val="NormalWeb"/>
        <w:spacing w:before="0" w:beforeAutospacing="0" w:after="0" w:afterAutospacing="0"/>
        <w:jc w:val="both"/>
      </w:pPr>
      <w:r w:rsidRPr="00AF425C">
        <w:t xml:space="preserve">Kripto para, </w:t>
      </w:r>
      <w:r w:rsidR="000A21A8" w:rsidRPr="00AF425C">
        <w:t xml:space="preserve">merkezi olmayan (desantralize) </w:t>
      </w:r>
      <w:r w:rsidR="00F87FD0">
        <w:t xml:space="preserve">dağınık </w:t>
      </w:r>
      <w:r w:rsidR="000A21A8" w:rsidRPr="00AF425C">
        <w:t>b</w:t>
      </w:r>
      <w:r w:rsidR="006075E3" w:rsidRPr="00AF425C">
        <w:t>i</w:t>
      </w:r>
      <w:r w:rsidR="000A21A8" w:rsidRPr="00AF425C">
        <w:t>r veri tabanı üzerinde işleyen</w:t>
      </w:r>
      <w:r w:rsidR="00E80817">
        <w:t xml:space="preserve">, şifrelemeye dayalı ve </w:t>
      </w:r>
      <w:r w:rsidR="006075E3" w:rsidRPr="00AF425C">
        <w:t xml:space="preserve">dijital temelli </w:t>
      </w:r>
      <w:r w:rsidR="00E80817">
        <w:t xml:space="preserve">bir </w:t>
      </w:r>
      <w:r w:rsidR="0070170A">
        <w:t>değişim sistemidir</w:t>
      </w:r>
      <w:r w:rsidRPr="00AF425C">
        <w:t xml:space="preserve">. </w:t>
      </w:r>
      <w:r w:rsidR="000A21A8" w:rsidRPr="00AF425C">
        <w:t xml:space="preserve">Blok zincir yoluyla </w:t>
      </w:r>
      <w:r w:rsidR="006075E3" w:rsidRPr="00AF425C">
        <w:t xml:space="preserve">sağlanan </w:t>
      </w:r>
      <w:r w:rsidR="000A21A8" w:rsidRPr="00AF425C">
        <w:t>güvenlik ve merkezi bir kontrol</w:t>
      </w:r>
      <w:r w:rsidR="006075E3" w:rsidRPr="00AF425C">
        <w:t xml:space="preserve"> sisteminin </w:t>
      </w:r>
      <w:r w:rsidR="000A21A8" w:rsidRPr="00AF425C">
        <w:t>bulunmayışının sağladığı gizlilik, kripto paranın artan şekilde finansal işlemlerde kullanılmasına yol açmıştır.</w:t>
      </w:r>
      <w:r w:rsidR="00E54DAD" w:rsidRPr="00AF425C">
        <w:rPr>
          <w:rStyle w:val="DipnotBavurusu"/>
        </w:rPr>
        <w:footnoteReference w:id="1"/>
      </w:r>
      <w:r w:rsidR="00E54DAD" w:rsidRPr="00AF425C">
        <w:t xml:space="preserve">  </w:t>
      </w:r>
      <w:r w:rsidR="005A6222">
        <w:t xml:space="preserve">Bunun yanında </w:t>
      </w:r>
      <w:r w:rsidR="000A21A8" w:rsidRPr="00AF425C">
        <w:t xml:space="preserve">Dünya ve Türkiye ölçeğinde son yıllarda gözlenen faiz ve diğer </w:t>
      </w:r>
      <w:r w:rsidR="005C33E4">
        <w:t>sermaye</w:t>
      </w:r>
      <w:r w:rsidR="000A21A8" w:rsidRPr="00AF425C">
        <w:t xml:space="preserve"> gelirlerindeki düşüş ve</w:t>
      </w:r>
      <w:r w:rsidR="002C5EAA">
        <w:t xml:space="preserve"> buna mukabil</w:t>
      </w:r>
      <w:r w:rsidR="000A21A8" w:rsidRPr="00AF425C">
        <w:t xml:space="preserve"> Bitcoin örneğind</w:t>
      </w:r>
      <w:r w:rsidR="00AA6718">
        <w:t>e görülen olağanüstü getiri</w:t>
      </w:r>
      <w:r w:rsidR="000A21A8" w:rsidRPr="00AF425C">
        <w:t xml:space="preserve">, söz </w:t>
      </w:r>
      <w:r w:rsidR="007577F3">
        <w:t xml:space="preserve">dijital varlıkların </w:t>
      </w:r>
      <w:r w:rsidR="000A21A8" w:rsidRPr="00AF425C">
        <w:t xml:space="preserve"> bir yatırım </w:t>
      </w:r>
      <w:r w:rsidR="00AF425C">
        <w:t>ve değer saklama</w:t>
      </w:r>
      <w:r w:rsidR="000A21A8" w:rsidRPr="00AF425C">
        <w:t xml:space="preserve"> aracı olarak kullanılması</w:t>
      </w:r>
      <w:r w:rsidR="00B141D9">
        <w:t>nı</w:t>
      </w:r>
      <w:r w:rsidR="000A21A8" w:rsidRPr="00AF425C">
        <w:t xml:space="preserve"> </w:t>
      </w:r>
      <w:r w:rsidR="00E54DAD">
        <w:t>da beraberinde getirmiştir</w:t>
      </w:r>
      <w:r w:rsidR="000A21A8" w:rsidRPr="00AF425C">
        <w:t xml:space="preserve">. </w:t>
      </w:r>
    </w:p>
    <w:p w14:paraId="4B83C8F3" w14:textId="77777777" w:rsidR="00D9246D" w:rsidRDefault="00D9246D" w:rsidP="00FF1C80">
      <w:pPr>
        <w:pStyle w:val="NormalWeb"/>
        <w:spacing w:before="0" w:beforeAutospacing="0" w:after="0" w:afterAutospacing="0"/>
        <w:jc w:val="both"/>
      </w:pPr>
    </w:p>
    <w:p w14:paraId="3D001D5E" w14:textId="453CE0AB" w:rsidR="00F614A7" w:rsidRPr="00AF425C" w:rsidRDefault="00CF5808" w:rsidP="00FF1C80">
      <w:pPr>
        <w:pStyle w:val="NormalWeb"/>
        <w:spacing w:before="0" w:beforeAutospacing="0" w:after="0" w:afterAutospacing="0"/>
        <w:jc w:val="both"/>
      </w:pPr>
      <w:r>
        <w:t>B</w:t>
      </w:r>
      <w:r w:rsidRPr="00AF425C">
        <w:t>ugün geçerli diğer “</w:t>
      </w:r>
      <w:r w:rsidRPr="006D64EF">
        <w:rPr>
          <w:i/>
          <w:iCs/>
        </w:rPr>
        <w:t>fiat money</w:t>
      </w:r>
      <w:r w:rsidRPr="00AF425C">
        <w:t xml:space="preserve">” para birimleri </w:t>
      </w:r>
      <w:r>
        <w:t>gibi</w:t>
      </w:r>
      <w:r w:rsidR="00AF3F03">
        <w:t>,</w:t>
      </w:r>
      <w:r>
        <w:t xml:space="preserve"> </w:t>
      </w:r>
      <w:r w:rsidR="006D64EF">
        <w:t>k</w:t>
      </w:r>
      <w:r w:rsidR="000A21A8" w:rsidRPr="00AF425C">
        <w:t>ripto para</w:t>
      </w:r>
      <w:r>
        <w:t>nın</w:t>
      </w:r>
      <w:r w:rsidR="000A21A8" w:rsidRPr="00AF425C">
        <w:t xml:space="preserve"> da altın veya benzeri bir </w:t>
      </w:r>
      <w:r w:rsidR="00F614A7" w:rsidRPr="00AF425C">
        <w:t xml:space="preserve">fiziki veya emtia karşılığı yoktur. </w:t>
      </w:r>
      <w:r w:rsidR="00AF3F03">
        <w:t>D</w:t>
      </w:r>
      <w:r w:rsidR="001419EA">
        <w:t>i</w:t>
      </w:r>
      <w:r w:rsidR="00AF3F03">
        <w:t>ğer bir de</w:t>
      </w:r>
      <w:r w:rsidR="00895D46">
        <w:t>y</w:t>
      </w:r>
      <w:r w:rsidR="00AF3F03">
        <w:t>işle</w:t>
      </w:r>
      <w:r w:rsidR="00895D46">
        <w:t>,</w:t>
      </w:r>
      <w:r w:rsidR="001419EA">
        <w:t xml:space="preserve"> </w:t>
      </w:r>
      <w:r w:rsidR="00F614A7" w:rsidRPr="00AF425C">
        <w:t xml:space="preserve">kripto paraya değer kazandıran </w:t>
      </w:r>
      <w:r w:rsidR="0088146B" w:rsidRPr="00AF425C">
        <w:t>piyasa</w:t>
      </w:r>
      <w:r w:rsidR="00F614A7" w:rsidRPr="00AF425C">
        <w:t xml:space="preserve"> aktörlerince geçerli bir değişim aracı olarak gördüğü kabuldür. Bu nedenle, bir devlet tarafından desteklenmese bile, resmi </w:t>
      </w:r>
      <w:r w:rsidR="00990155" w:rsidRPr="00AF425C">
        <w:t>transfer</w:t>
      </w:r>
      <w:r w:rsidR="00F614A7" w:rsidRPr="00AF425C">
        <w:t xml:space="preserve"> kanal</w:t>
      </w:r>
      <w:r w:rsidR="00717CFC" w:rsidRPr="00AF425C">
        <w:t>l</w:t>
      </w:r>
      <w:r w:rsidR="00F614A7" w:rsidRPr="00AF425C">
        <w:t>arının dışında kalması</w:t>
      </w:r>
      <w:r w:rsidR="00717CFC" w:rsidRPr="00AF425C">
        <w:t>, aracı içermemesi</w:t>
      </w:r>
      <w:r w:rsidR="00F614A7" w:rsidRPr="00AF425C">
        <w:t xml:space="preserve"> ve blok zincir tarafından sağlanan güvenlik </w:t>
      </w:r>
      <w:r w:rsidR="00721F38">
        <w:t>gibi</w:t>
      </w:r>
      <w:r w:rsidR="00F614A7" w:rsidRPr="00AF425C">
        <w:t xml:space="preserve"> </w:t>
      </w:r>
      <w:r w:rsidR="00721F38">
        <w:t xml:space="preserve">sebeplerle </w:t>
      </w:r>
      <w:r w:rsidR="00BB43A2" w:rsidRPr="00AF425C">
        <w:t xml:space="preserve">kripto varlıklar </w:t>
      </w:r>
      <w:r w:rsidR="001D4497" w:rsidRPr="00AF425C">
        <w:t xml:space="preserve">rağbet gören </w:t>
      </w:r>
      <w:r w:rsidR="00F614A7" w:rsidRPr="00AF425C">
        <w:t xml:space="preserve">bir ekonomik değişim aracı </w:t>
      </w:r>
      <w:r w:rsidR="005A51A7">
        <w:t>haline gelmiştir.</w:t>
      </w:r>
      <w:r w:rsidR="00F614A7" w:rsidRPr="00AF425C">
        <w:t xml:space="preserve"> Diğer yan</w:t>
      </w:r>
      <w:r w:rsidR="00571930" w:rsidRPr="00AF425C">
        <w:t>d</w:t>
      </w:r>
      <w:r w:rsidR="00F614A7" w:rsidRPr="00AF425C">
        <w:t>a</w:t>
      </w:r>
      <w:r w:rsidR="00571930" w:rsidRPr="00AF425C">
        <w:t>n</w:t>
      </w:r>
      <w:r w:rsidR="00764A8D">
        <w:t>,</w:t>
      </w:r>
      <w:r w:rsidR="00F614A7" w:rsidRPr="00AF425C">
        <w:t xml:space="preserve"> konvansiyonel finans sistemi dışında </w:t>
      </w:r>
      <w:r w:rsidR="008D3809">
        <w:t xml:space="preserve">kalmaları </w:t>
      </w:r>
      <w:r w:rsidR="006D64EF">
        <w:t xml:space="preserve">dolayısıyla </w:t>
      </w:r>
      <w:r w:rsidR="00721F38" w:rsidRPr="00AF425C">
        <w:t>dolandırıcılık</w:t>
      </w:r>
      <w:r w:rsidR="00F614A7" w:rsidRPr="00AF425C">
        <w:t xml:space="preserve"> veya suç gelirlerinin </w:t>
      </w:r>
      <w:r w:rsidR="00571930" w:rsidRPr="00AF425C">
        <w:t>aklanması</w:t>
      </w:r>
      <w:r w:rsidR="00F614A7" w:rsidRPr="00AF425C">
        <w:t xml:space="preserve"> gibi yasadışı faaliyetlerin finansmanı veya organizasyon</w:t>
      </w:r>
      <w:r w:rsidR="006075E3" w:rsidRPr="00AF425C">
        <w:t>u</w:t>
      </w:r>
      <w:r w:rsidR="00F614A7" w:rsidRPr="00AF425C">
        <w:t xml:space="preserve"> için uygun </w:t>
      </w:r>
      <w:r w:rsidR="006D64EF">
        <w:t xml:space="preserve">zemin </w:t>
      </w:r>
      <w:r w:rsidR="001F15CC">
        <w:t>yaratmaktadırlar</w:t>
      </w:r>
      <w:r w:rsidR="006075E3" w:rsidRPr="00AF425C">
        <w:t>.</w:t>
      </w:r>
    </w:p>
    <w:p w14:paraId="1C5F67D8" w14:textId="77777777" w:rsidR="00D9246D" w:rsidRDefault="00D9246D" w:rsidP="00FF1C80">
      <w:pPr>
        <w:pStyle w:val="NormalWeb"/>
        <w:spacing w:before="0" w:beforeAutospacing="0" w:after="0" w:afterAutospacing="0"/>
        <w:jc w:val="both"/>
      </w:pPr>
    </w:p>
    <w:p w14:paraId="26FD10F2" w14:textId="19C10166" w:rsidR="00F614A7" w:rsidRPr="00AF425C" w:rsidRDefault="00F614A7" w:rsidP="00FF1C80">
      <w:pPr>
        <w:pStyle w:val="NormalWeb"/>
        <w:spacing w:before="0" w:beforeAutospacing="0" w:after="0" w:afterAutospacing="0"/>
        <w:jc w:val="both"/>
      </w:pPr>
      <w:r w:rsidRPr="00AF425C">
        <w:t xml:space="preserve">Tüm </w:t>
      </w:r>
      <w:r w:rsidR="00E32606" w:rsidRPr="00AF425C">
        <w:t>bunlar</w:t>
      </w:r>
      <w:r w:rsidRPr="00AF425C">
        <w:t xml:space="preserve"> gerek kripto para birimler</w:t>
      </w:r>
      <w:r w:rsidR="006075E3" w:rsidRPr="00AF425C">
        <w:t>i</w:t>
      </w:r>
      <w:r w:rsidRPr="00AF425C">
        <w:t xml:space="preserve"> ve </w:t>
      </w:r>
      <w:r w:rsidR="006075E3" w:rsidRPr="00AF425C">
        <w:t xml:space="preserve">gerekse </w:t>
      </w:r>
      <w:r w:rsidRPr="00AF425C">
        <w:t xml:space="preserve">blok zincir üzerinde </w:t>
      </w:r>
      <w:r w:rsidR="006075E3" w:rsidRPr="00AF425C">
        <w:t>işleyen diğer yeni</w:t>
      </w:r>
      <w:r w:rsidR="00571930" w:rsidRPr="00AF425C">
        <w:t xml:space="preserve"> </w:t>
      </w:r>
      <w:r w:rsidR="006075E3" w:rsidRPr="00AF425C">
        <w:t>nesil</w:t>
      </w:r>
      <w:r w:rsidRPr="00AF425C">
        <w:t xml:space="preserve"> finansman </w:t>
      </w:r>
      <w:r w:rsidR="006075E3" w:rsidRPr="00AF425C">
        <w:t xml:space="preserve">araçları ve iş </w:t>
      </w:r>
      <w:r w:rsidRPr="00AF425C">
        <w:t>modellerinin</w:t>
      </w:r>
      <w:r w:rsidR="006075E3" w:rsidRPr="00AF425C">
        <w:t xml:space="preserve"> nasıl düzenleneceği sorusunu gündeme getirmektedir. </w:t>
      </w:r>
    </w:p>
    <w:p w14:paraId="42BA7C43" w14:textId="77777777" w:rsidR="00E17960" w:rsidRPr="00AF425C" w:rsidRDefault="00E17960" w:rsidP="00FF1C80">
      <w:pPr>
        <w:pStyle w:val="AralkYok"/>
        <w:jc w:val="both"/>
        <w:rPr>
          <w:rFonts w:ascii="Times New Roman" w:hAnsi="Times New Roman" w:cs="Times New Roman"/>
          <w:sz w:val="24"/>
          <w:szCs w:val="24"/>
        </w:rPr>
      </w:pPr>
    </w:p>
    <w:p w14:paraId="5276ED62" w14:textId="307A930E" w:rsidR="00935C5F" w:rsidRPr="00AF425C" w:rsidRDefault="00935C5F" w:rsidP="00FF1C80">
      <w:pPr>
        <w:pStyle w:val="Balk2"/>
        <w:numPr>
          <w:ilvl w:val="0"/>
          <w:numId w:val="11"/>
        </w:numPr>
        <w:spacing w:before="0"/>
        <w:jc w:val="both"/>
        <w:rPr>
          <w:rFonts w:ascii="Times New Roman" w:hAnsi="Times New Roman" w:cs="Times New Roman"/>
          <w:b/>
          <w:bCs/>
          <w:sz w:val="24"/>
          <w:szCs w:val="24"/>
        </w:rPr>
      </w:pPr>
      <w:r w:rsidRPr="00AF425C">
        <w:rPr>
          <w:rFonts w:ascii="Times New Roman" w:hAnsi="Times New Roman" w:cs="Times New Roman"/>
          <w:b/>
          <w:bCs/>
          <w:sz w:val="24"/>
          <w:szCs w:val="24"/>
        </w:rPr>
        <w:t>YÖNETMELİK HAKKINDA</w:t>
      </w:r>
    </w:p>
    <w:p w14:paraId="69683D9A" w14:textId="77777777" w:rsidR="00D55B8E" w:rsidRPr="00AF425C" w:rsidRDefault="00D55B8E" w:rsidP="00FF1C80">
      <w:pPr>
        <w:jc w:val="both"/>
      </w:pPr>
    </w:p>
    <w:p w14:paraId="017EF3EB" w14:textId="502A287F" w:rsidR="006075E3" w:rsidRPr="00AF425C" w:rsidRDefault="00935C5F" w:rsidP="00FF1C80">
      <w:pPr>
        <w:pStyle w:val="NormalWeb"/>
        <w:spacing w:before="0" w:beforeAutospacing="0" w:after="0" w:afterAutospacing="0"/>
        <w:jc w:val="both"/>
      </w:pPr>
      <w:r w:rsidRPr="00AF425C">
        <w:t>16 Nisan 2021 Cuma günü Merkez Bankası tarafından Resmi Gazete’de Kripto Varlıkların Kullanılmamasına Dair Yönetmelik yayımlanarak bu kripto varlıklara yönelik bir düzenleme ge</w:t>
      </w:r>
      <w:r w:rsidR="007900A9" w:rsidRPr="00AF425C">
        <w:t>tirilmiştir</w:t>
      </w:r>
      <w:r w:rsidRPr="00AF425C">
        <w:t>. Bu düzenlemelerde ‘</w:t>
      </w:r>
      <w:r w:rsidRPr="00AF425C">
        <w:rPr>
          <w:b/>
          <w:bCs/>
        </w:rPr>
        <w:t>kripto varlık</w:t>
      </w:r>
      <w:r w:rsidRPr="00AF425C">
        <w:t>’ kavramı tanımlanmış</w:t>
      </w:r>
      <w:r w:rsidR="00E86D77" w:rsidRPr="00AF425C">
        <w:t xml:space="preserve"> olup;</w:t>
      </w:r>
      <w:r w:rsidR="00C70A2E" w:rsidRPr="00AF425C">
        <w:t xml:space="preserve"> ilgili yönetmeliğin 3. Maddesinde: ‘’</w:t>
      </w:r>
      <w:r w:rsidR="002B555A" w:rsidRPr="00AF425C">
        <w:rPr>
          <w:color w:val="000000"/>
          <w:sz w:val="18"/>
          <w:szCs w:val="18"/>
        </w:rPr>
        <w:t>(</w:t>
      </w:r>
      <w:r w:rsidR="00C70A2E" w:rsidRPr="00AF425C">
        <w:rPr>
          <w:color w:val="000000"/>
        </w:rPr>
        <w:t>…</w:t>
      </w:r>
      <w:r w:rsidR="002B555A" w:rsidRPr="00AF425C">
        <w:rPr>
          <w:color w:val="000000"/>
        </w:rPr>
        <w:t xml:space="preserve">) </w:t>
      </w:r>
      <w:r w:rsidR="00C70A2E" w:rsidRPr="00AF425C">
        <w:rPr>
          <w:b/>
          <w:i/>
          <w:iCs/>
          <w:color w:val="000000"/>
          <w:u w:val="single"/>
        </w:rPr>
        <w:t>kripto varlık, dağıtık defter</w:t>
      </w:r>
      <w:r w:rsidR="006075E3" w:rsidRPr="00AF425C">
        <w:rPr>
          <w:rStyle w:val="DipnotBavurusu"/>
          <w:b/>
          <w:i/>
          <w:iCs/>
          <w:color w:val="000000"/>
          <w:u w:val="single"/>
        </w:rPr>
        <w:footnoteReference w:id="2"/>
      </w:r>
      <w:r w:rsidR="00C70A2E" w:rsidRPr="00AF425C">
        <w:rPr>
          <w:b/>
          <w:i/>
          <w:iCs/>
          <w:color w:val="000000"/>
          <w:u w:val="single"/>
        </w:rPr>
        <w:t xml:space="preserve"> teknolojisi veya benzer bir teknoloji kullanılarak sanal olarak oluşturulup dijital ağlar üzerinden dağıtımı yapılan, ancak itibari para, kaydi para, elektronik para, ödeme aracı, menkul kıymet veya diğer sermaye piyasası aracı olarak nitelendirilmeyen gayri maddi varlıkları ifade eder</w:t>
      </w:r>
      <w:r w:rsidR="00C70A2E" w:rsidRPr="00AF425C">
        <w:rPr>
          <w:i/>
          <w:iCs/>
          <w:color w:val="000000"/>
        </w:rPr>
        <w:t xml:space="preserve">.’’ </w:t>
      </w:r>
      <w:r w:rsidR="00C70A2E" w:rsidRPr="00AF425C">
        <w:rPr>
          <w:color w:val="000000"/>
        </w:rPr>
        <w:t>ifadesi yer almaktadır.</w:t>
      </w:r>
      <w:r w:rsidR="00E86D77" w:rsidRPr="00AF425C">
        <w:t xml:space="preserve"> </w:t>
      </w:r>
      <w:r w:rsidR="007577F3">
        <w:t xml:space="preserve">Böylelikle </w:t>
      </w:r>
      <w:r w:rsidRPr="00AF425C">
        <w:t>Kripto Varlık kavramı</w:t>
      </w:r>
      <w:r w:rsidR="006075E3" w:rsidRPr="00AF425C">
        <w:t xml:space="preserve"> </w:t>
      </w:r>
      <w:r w:rsidR="006D64EF" w:rsidRPr="00AF425C">
        <w:t xml:space="preserve">Türk Hukukunda </w:t>
      </w:r>
      <w:r w:rsidRPr="00AF425C">
        <w:t xml:space="preserve">yasal </w:t>
      </w:r>
      <w:r w:rsidR="006075E3" w:rsidRPr="00AF425C">
        <w:t>tanıma</w:t>
      </w:r>
      <w:r w:rsidR="007577F3">
        <w:t xml:space="preserve"> </w:t>
      </w:r>
      <w:r w:rsidR="006075E3" w:rsidRPr="00AF425C">
        <w:t>kavuş</w:t>
      </w:r>
      <w:r w:rsidR="002B555A" w:rsidRPr="00AF425C">
        <w:t xml:space="preserve">muştur. </w:t>
      </w:r>
    </w:p>
    <w:p w14:paraId="48CB44B2" w14:textId="77777777" w:rsidR="00AF6479" w:rsidRDefault="00AF6479" w:rsidP="00FF1C80">
      <w:pPr>
        <w:pStyle w:val="NormalWeb"/>
        <w:spacing w:before="0" w:beforeAutospacing="0" w:after="0" w:afterAutospacing="0"/>
        <w:jc w:val="both"/>
      </w:pPr>
    </w:p>
    <w:p w14:paraId="08E568D4" w14:textId="59EF34D9" w:rsidR="00F443DE" w:rsidRPr="00AF425C" w:rsidRDefault="00824005" w:rsidP="00FF1C80">
      <w:pPr>
        <w:pStyle w:val="NormalWeb"/>
        <w:spacing w:before="0" w:beforeAutospacing="0" w:after="0" w:afterAutospacing="0"/>
        <w:jc w:val="both"/>
        <w:rPr>
          <w:shd w:val="clear" w:color="auto" w:fill="FFFFFF"/>
        </w:rPr>
      </w:pPr>
      <w:r w:rsidRPr="00AF425C">
        <w:t>Y</w:t>
      </w:r>
      <w:r w:rsidR="006075E3" w:rsidRPr="00AF425C">
        <w:t xml:space="preserve">önetmeliğin </w:t>
      </w:r>
      <w:r w:rsidR="00215817">
        <w:t>getirdiği</w:t>
      </w:r>
      <w:r w:rsidR="00662E6F" w:rsidRPr="00AF425C">
        <w:t xml:space="preserve"> en önemli husus, </w:t>
      </w:r>
      <w:r w:rsidR="00220B2A" w:rsidRPr="00AF425C">
        <w:t xml:space="preserve">tanımlanan </w:t>
      </w:r>
      <w:r w:rsidR="00935C5F" w:rsidRPr="00AF425C">
        <w:rPr>
          <w:b/>
          <w:bCs/>
          <w:u w:val="single"/>
        </w:rPr>
        <w:t>kripto varlıkların ödemelerde doğrudan veya dolaylı olarak kullanılamayacağı</w:t>
      </w:r>
      <w:r w:rsidR="00220B2A" w:rsidRPr="00AF425C">
        <w:rPr>
          <w:b/>
          <w:bCs/>
          <w:u w:val="single"/>
        </w:rPr>
        <w:t xml:space="preserve"> ve</w:t>
      </w:r>
      <w:r w:rsidR="00935C5F" w:rsidRPr="00AF425C">
        <w:rPr>
          <w:b/>
          <w:bCs/>
          <w:u w:val="single"/>
        </w:rPr>
        <w:t xml:space="preserve"> bu yönde hizmet sunulamayacağı</w:t>
      </w:r>
      <w:r w:rsidR="00E22228" w:rsidRPr="00AF425C">
        <w:rPr>
          <w:b/>
          <w:bCs/>
          <w:u w:val="single"/>
        </w:rPr>
        <w:t xml:space="preserve"> </w:t>
      </w:r>
      <w:r w:rsidR="00A65649" w:rsidRPr="00AF425C">
        <w:rPr>
          <w:b/>
          <w:bCs/>
          <w:u w:val="single"/>
        </w:rPr>
        <w:t>yönündeki</w:t>
      </w:r>
      <w:r w:rsidR="00E22228" w:rsidRPr="00AF425C">
        <w:rPr>
          <w:b/>
          <w:bCs/>
          <w:u w:val="single"/>
        </w:rPr>
        <w:t xml:space="preserve"> düzenlemedir</w:t>
      </w:r>
      <w:r w:rsidR="00935C5F" w:rsidRPr="00AF425C">
        <w:t>.</w:t>
      </w:r>
      <w:r w:rsidR="00C34D7C" w:rsidRPr="00AF425C">
        <w:t xml:space="preserve"> </w:t>
      </w:r>
      <w:r w:rsidR="00380CC3" w:rsidRPr="00AF425C">
        <w:t xml:space="preserve">Buna paralel olarak, </w:t>
      </w:r>
      <w:r w:rsidR="00380CC3" w:rsidRPr="00AF425C">
        <w:rPr>
          <w:i/>
          <w:iCs/>
        </w:rPr>
        <w:t>Ödeme hizmeti sağlayıcıları</w:t>
      </w:r>
      <w:r w:rsidR="00371E01" w:rsidRPr="00AF425C">
        <w:rPr>
          <w:rStyle w:val="DipnotBavurusu"/>
          <w:i/>
          <w:iCs/>
        </w:rPr>
        <w:footnoteReference w:id="3"/>
      </w:r>
      <w:r w:rsidR="00380CC3" w:rsidRPr="00AF425C">
        <w:t>, ödeme hizmetlerinin sunulmasında ve elektronik para ihracında kripto varlıkların doğrudan veya dolaylı olarak kullanılacağı iş modelleri geliştiremez</w:t>
      </w:r>
      <w:r w:rsidR="006269F5" w:rsidRPr="00AF425C">
        <w:t xml:space="preserve"> veya</w:t>
      </w:r>
      <w:r w:rsidR="00380CC3" w:rsidRPr="00AF425C">
        <w:t xml:space="preserve"> bu tür iş modellerine ilişkin herhangi bir hizmet sunamaz.  </w:t>
      </w:r>
      <w:r w:rsidR="00380CC3" w:rsidRPr="00AF425C">
        <w:rPr>
          <w:i/>
          <w:iCs/>
        </w:rPr>
        <w:t>Ödeme ve elektronik para kuruluşları</w:t>
      </w:r>
      <w:r w:rsidR="00380CC3" w:rsidRPr="00AF425C">
        <w:t>, kripto varlıklara ilişkin alım satım, saklama, transfer veya ihraç hizmeti sunan platformlara veya bu platformlardan yapılacak fon aktarımlarına aracılık edemez</w:t>
      </w:r>
      <w:r w:rsidR="00F443DE" w:rsidRPr="00AF425C">
        <w:rPr>
          <w:shd w:val="clear" w:color="auto" w:fill="FFFFFF"/>
        </w:rPr>
        <w:t xml:space="preserve">. </w:t>
      </w:r>
    </w:p>
    <w:p w14:paraId="1646FC9B" w14:textId="77777777" w:rsidR="00AF6479" w:rsidRDefault="00AF6479" w:rsidP="00FF1C80">
      <w:pPr>
        <w:jc w:val="both"/>
      </w:pPr>
    </w:p>
    <w:p w14:paraId="1E2F3DC6" w14:textId="3AD19B7E" w:rsidR="00345C63" w:rsidRPr="00AF425C" w:rsidRDefault="004B0EFF" w:rsidP="00FF1C80">
      <w:pPr>
        <w:jc w:val="both"/>
      </w:pPr>
      <w:r w:rsidRPr="00AF425C">
        <w:t xml:space="preserve">Söz konusu hükümlerden anlaşıldığı </w:t>
      </w:r>
      <w:r w:rsidR="005E4462" w:rsidRPr="00AF425C">
        <w:t>k</w:t>
      </w:r>
      <w:r w:rsidRPr="00AF425C">
        <w:t xml:space="preserve">adarıyla, </w:t>
      </w:r>
      <w:r w:rsidR="00345C63" w:rsidRPr="00AF425C">
        <w:t xml:space="preserve">Yönetmeliğin </w:t>
      </w:r>
      <w:r w:rsidR="00F443DE" w:rsidRPr="00AF425C">
        <w:t xml:space="preserve">kripto varlıkların </w:t>
      </w:r>
      <w:r w:rsidR="009D7D42" w:rsidRPr="00AF425C">
        <w:t>borsa benzeri yapılar içinde yatırım</w:t>
      </w:r>
      <w:r w:rsidR="007F305B" w:rsidRPr="00AF425C">
        <w:t xml:space="preserve">, arbitraj veya </w:t>
      </w:r>
      <w:r w:rsidR="009D7D42" w:rsidRPr="00AF425C">
        <w:t xml:space="preserve">spekülasyon amaçlı alım satımı </w:t>
      </w:r>
      <w:r w:rsidR="00806C6F" w:rsidRPr="00AF425C">
        <w:t>yasaklanma</w:t>
      </w:r>
      <w:r w:rsidR="00995988" w:rsidRPr="00AF425C">
        <w:t>m</w:t>
      </w:r>
      <w:r w:rsidR="00806C6F" w:rsidRPr="00AF425C">
        <w:t xml:space="preserve">ıştır. </w:t>
      </w:r>
      <w:r w:rsidR="00AB5186" w:rsidRPr="00AF425C">
        <w:t xml:space="preserve">Ancak 6493 sayılı Kanunda </w:t>
      </w:r>
      <w:r w:rsidR="00352E65" w:rsidRPr="00AF425C">
        <w:t xml:space="preserve">tanımlandığı şekliyle </w:t>
      </w:r>
      <w:r w:rsidR="00AB5186" w:rsidRPr="00AF425C">
        <w:t xml:space="preserve">ödeme ve elektronik </w:t>
      </w:r>
      <w:r w:rsidR="00A7166A" w:rsidRPr="00AF425C">
        <w:t xml:space="preserve">para kuruluşlarının </w:t>
      </w:r>
      <w:r w:rsidR="007E7AE8" w:rsidRPr="00AF425C">
        <w:t>her n</w:t>
      </w:r>
      <w:r w:rsidR="00B21493" w:rsidRPr="00AF425C">
        <w:t>e</w:t>
      </w:r>
      <w:r w:rsidR="004C2C0E" w:rsidRPr="00AF425C">
        <w:t xml:space="preserve"> ş</w:t>
      </w:r>
      <w:r w:rsidR="007E7AE8" w:rsidRPr="00AF425C">
        <w:t>ekilde olursun krip</w:t>
      </w:r>
      <w:r w:rsidR="004C2C0E" w:rsidRPr="00AF425C">
        <w:t>t</w:t>
      </w:r>
      <w:r w:rsidR="007E7AE8" w:rsidRPr="00AF425C">
        <w:t>o varlıklara</w:t>
      </w:r>
      <w:r w:rsidR="00B904DD" w:rsidRPr="00AF425C">
        <w:t xml:space="preserve"> </w:t>
      </w:r>
      <w:r w:rsidR="007E7AE8" w:rsidRPr="00AF425C">
        <w:t xml:space="preserve">ilişkin faaliyette bulunması mümkün değildir.  </w:t>
      </w:r>
    </w:p>
    <w:p w14:paraId="0FF903A1" w14:textId="77777777" w:rsidR="00380CC3" w:rsidRPr="00AF425C" w:rsidRDefault="00380CC3" w:rsidP="00FF1C80">
      <w:pPr>
        <w:jc w:val="both"/>
      </w:pPr>
    </w:p>
    <w:p w14:paraId="07553AEE" w14:textId="4103F650" w:rsidR="003754ED" w:rsidRPr="00AF425C" w:rsidRDefault="00D57110" w:rsidP="00AF6479">
      <w:pPr>
        <w:pStyle w:val="Balk1"/>
        <w:spacing w:before="0"/>
        <w:jc w:val="center"/>
        <w:rPr>
          <w:rFonts w:ascii="Times New Roman" w:hAnsi="Times New Roman" w:cs="Times New Roman"/>
          <w:b/>
          <w:bCs/>
          <w:sz w:val="28"/>
          <w:szCs w:val="28"/>
        </w:rPr>
      </w:pPr>
      <w:r w:rsidRPr="00AF425C">
        <w:rPr>
          <w:rFonts w:ascii="Times New Roman" w:hAnsi="Times New Roman" w:cs="Times New Roman"/>
          <w:b/>
          <w:bCs/>
          <w:sz w:val="28"/>
          <w:szCs w:val="28"/>
        </w:rPr>
        <w:t>DEĞERLENDİRME</w:t>
      </w:r>
    </w:p>
    <w:p w14:paraId="500D3520" w14:textId="77777777" w:rsidR="00935C5F" w:rsidRPr="00AF425C" w:rsidRDefault="00935C5F" w:rsidP="00FF1C80">
      <w:pPr>
        <w:jc w:val="both"/>
      </w:pPr>
    </w:p>
    <w:p w14:paraId="68AB70A3" w14:textId="4F63134F" w:rsidR="005740C2" w:rsidRPr="00AF425C" w:rsidRDefault="00473DC8" w:rsidP="00FF1C80">
      <w:pPr>
        <w:pStyle w:val="NormalWeb"/>
        <w:spacing w:before="0" w:beforeAutospacing="0" w:after="0" w:afterAutospacing="0"/>
        <w:jc w:val="both"/>
        <w:rPr>
          <w:shd w:val="clear" w:color="auto" w:fill="FFFFFF"/>
        </w:rPr>
      </w:pPr>
      <w:r w:rsidRPr="00AF425C">
        <w:rPr>
          <w:shd w:val="clear" w:color="auto" w:fill="FFFFFF"/>
        </w:rPr>
        <w:t xml:space="preserve">Sonuç olarak </w:t>
      </w:r>
      <w:r w:rsidR="00F62C3D" w:rsidRPr="00AF425C">
        <w:rPr>
          <w:shd w:val="clear" w:color="auto" w:fill="FFFFFF"/>
        </w:rPr>
        <w:t xml:space="preserve">denilebilir ki, </w:t>
      </w:r>
      <w:r w:rsidRPr="00AF425C">
        <w:rPr>
          <w:shd w:val="clear" w:color="auto" w:fill="FFFFFF"/>
        </w:rPr>
        <w:t xml:space="preserve">Yönetmelik uyarınca kripto varlık bulundurmak şu an için Türkiye’de hukuken yasak </w:t>
      </w:r>
      <w:r w:rsidR="005740C2" w:rsidRPr="00AF425C">
        <w:rPr>
          <w:shd w:val="clear" w:color="auto" w:fill="FFFFFF"/>
        </w:rPr>
        <w:t xml:space="preserve">değildir. </w:t>
      </w:r>
      <w:r w:rsidR="003B06FC" w:rsidRPr="00AF425C">
        <w:rPr>
          <w:shd w:val="clear" w:color="auto" w:fill="FFFFFF"/>
        </w:rPr>
        <w:t>Düzenlemen</w:t>
      </w:r>
      <w:r w:rsidR="00B0725F" w:rsidRPr="00AF425C">
        <w:rPr>
          <w:shd w:val="clear" w:color="auto" w:fill="FFFFFF"/>
        </w:rPr>
        <w:t>in</w:t>
      </w:r>
      <w:r w:rsidR="00B83A0E" w:rsidRPr="00AF425C">
        <w:rPr>
          <w:shd w:val="clear" w:color="auto" w:fill="FFFFFF"/>
        </w:rPr>
        <w:t xml:space="preserve"> amacı </w:t>
      </w:r>
      <w:r w:rsidR="001B6533" w:rsidRPr="00AF425C">
        <w:rPr>
          <w:shd w:val="clear" w:color="auto" w:fill="FFFFFF"/>
        </w:rPr>
        <w:t>kripto</w:t>
      </w:r>
      <w:r w:rsidR="005740C2" w:rsidRPr="00AF425C">
        <w:rPr>
          <w:shd w:val="clear" w:color="auto" w:fill="FFFFFF"/>
        </w:rPr>
        <w:t xml:space="preserve"> varlıkların hizmet alımı için doğrudan veya dolaylı olarak kullanılması, </w:t>
      </w:r>
      <w:r w:rsidR="00FA7F1C" w:rsidRPr="00AF425C">
        <w:rPr>
          <w:shd w:val="clear" w:color="auto" w:fill="FFFFFF"/>
        </w:rPr>
        <w:t xml:space="preserve">bu amaçla </w:t>
      </w:r>
      <w:r w:rsidR="005740C2" w:rsidRPr="00AF425C">
        <w:rPr>
          <w:shd w:val="clear" w:color="auto" w:fill="FFFFFF"/>
        </w:rPr>
        <w:t xml:space="preserve">hizmet </w:t>
      </w:r>
      <w:r w:rsidR="001F15CC" w:rsidRPr="00AF425C">
        <w:rPr>
          <w:shd w:val="clear" w:color="auto" w:fill="FFFFFF"/>
        </w:rPr>
        <w:t>sunulmasın</w:t>
      </w:r>
      <w:r w:rsidR="001F15CC">
        <w:rPr>
          <w:shd w:val="clear" w:color="auto" w:fill="FFFFFF"/>
        </w:rPr>
        <w:t>ı</w:t>
      </w:r>
      <w:r w:rsidR="00B0725F" w:rsidRPr="00AF425C">
        <w:rPr>
          <w:shd w:val="clear" w:color="auto" w:fill="FFFFFF"/>
        </w:rPr>
        <w:t xml:space="preserve"> </w:t>
      </w:r>
      <w:r w:rsidR="0020721B" w:rsidRPr="00AF425C">
        <w:rPr>
          <w:shd w:val="clear" w:color="auto" w:fill="FFFFFF"/>
        </w:rPr>
        <w:t xml:space="preserve">ve </w:t>
      </w:r>
      <w:r w:rsidR="005740C2" w:rsidRPr="00AF425C">
        <w:rPr>
          <w:shd w:val="clear" w:color="auto" w:fill="FFFFFF"/>
        </w:rPr>
        <w:t>transfer veya ihraç hizmeti sunan platform</w:t>
      </w:r>
      <w:r w:rsidR="0020721B" w:rsidRPr="00AF425C">
        <w:rPr>
          <w:shd w:val="clear" w:color="auto" w:fill="FFFFFF"/>
        </w:rPr>
        <w:t xml:space="preserve">lar aracılığıyla </w:t>
      </w:r>
      <w:r w:rsidR="00FF3E16" w:rsidRPr="00AF425C">
        <w:rPr>
          <w:shd w:val="clear" w:color="auto" w:fill="FFFFFF"/>
        </w:rPr>
        <w:t xml:space="preserve">saklama ve </w:t>
      </w:r>
      <w:r w:rsidR="005740C2" w:rsidRPr="00AF425C">
        <w:rPr>
          <w:shd w:val="clear" w:color="auto" w:fill="FFFFFF"/>
        </w:rPr>
        <w:t>fon aktarımına</w:t>
      </w:r>
      <w:r w:rsidR="00B0725F" w:rsidRPr="00AF425C">
        <w:rPr>
          <w:shd w:val="clear" w:color="auto" w:fill="FFFFFF"/>
        </w:rPr>
        <w:t xml:space="preserve"> konu olmasın</w:t>
      </w:r>
      <w:r w:rsidR="00FF1C80">
        <w:rPr>
          <w:shd w:val="clear" w:color="auto" w:fill="FFFFFF"/>
        </w:rPr>
        <w:t>ı</w:t>
      </w:r>
      <w:r w:rsidR="005740C2" w:rsidRPr="00AF425C">
        <w:rPr>
          <w:shd w:val="clear" w:color="auto" w:fill="FFFFFF"/>
        </w:rPr>
        <w:t xml:space="preserve"> </w:t>
      </w:r>
      <w:r w:rsidR="00B0725F" w:rsidRPr="00AF425C">
        <w:rPr>
          <w:shd w:val="clear" w:color="auto" w:fill="FFFFFF"/>
        </w:rPr>
        <w:t>engellenme</w:t>
      </w:r>
      <w:r w:rsidR="001F15CC">
        <w:rPr>
          <w:shd w:val="clear" w:color="auto" w:fill="FFFFFF"/>
        </w:rPr>
        <w:t xml:space="preserve">ktir. </w:t>
      </w:r>
    </w:p>
    <w:p w14:paraId="2CAC8680" w14:textId="37E88513" w:rsidR="000D07B8" w:rsidRPr="00AF425C" w:rsidRDefault="000A2F2D" w:rsidP="00FF1C80">
      <w:pPr>
        <w:pStyle w:val="NormalWeb"/>
        <w:spacing w:before="0" w:beforeAutospacing="0" w:after="0" w:afterAutospacing="0"/>
        <w:jc w:val="both"/>
        <w:rPr>
          <w:shd w:val="clear" w:color="auto" w:fill="FFFFFF"/>
        </w:rPr>
      </w:pPr>
      <w:r w:rsidRPr="00AF425C">
        <w:rPr>
          <w:shd w:val="clear" w:color="auto" w:fill="FFFFFF"/>
        </w:rPr>
        <w:t>Kripto varlıkları</w:t>
      </w:r>
      <w:r w:rsidR="000F01F4" w:rsidRPr="00AF425C">
        <w:rPr>
          <w:shd w:val="clear" w:color="auto" w:fill="FFFFFF"/>
        </w:rPr>
        <w:t>n</w:t>
      </w:r>
      <w:r w:rsidRPr="00AF425C">
        <w:rPr>
          <w:shd w:val="clear" w:color="auto" w:fill="FFFFFF"/>
        </w:rPr>
        <w:t xml:space="preserve"> </w:t>
      </w:r>
      <w:r w:rsidR="000B4C33" w:rsidRPr="00AF425C">
        <w:rPr>
          <w:shd w:val="clear" w:color="auto" w:fill="FFFFFF"/>
        </w:rPr>
        <w:t xml:space="preserve">değer saklama </w:t>
      </w:r>
      <w:r w:rsidRPr="00AF425C">
        <w:rPr>
          <w:shd w:val="clear" w:color="auto" w:fill="FFFFFF"/>
        </w:rPr>
        <w:t>veya arbitraj gibi amaçlarla işlem görmesi</w:t>
      </w:r>
      <w:r w:rsidR="00A07606" w:rsidRPr="00AF425C">
        <w:rPr>
          <w:shd w:val="clear" w:color="auto" w:fill="FFFFFF"/>
        </w:rPr>
        <w:t xml:space="preserve"> </w:t>
      </w:r>
      <w:r w:rsidR="00992323" w:rsidRPr="00AF425C">
        <w:rPr>
          <w:shd w:val="clear" w:color="auto" w:fill="FFFFFF"/>
        </w:rPr>
        <w:t>noktasında</w:t>
      </w:r>
      <w:r w:rsidR="00A07606" w:rsidRPr="00AF425C">
        <w:rPr>
          <w:shd w:val="clear" w:color="auto" w:fill="FFFFFF"/>
        </w:rPr>
        <w:t xml:space="preserve"> sessiz kal</w:t>
      </w:r>
      <w:r w:rsidR="004D16E0" w:rsidRPr="00AF425C">
        <w:rPr>
          <w:shd w:val="clear" w:color="auto" w:fill="FFFFFF"/>
        </w:rPr>
        <w:t xml:space="preserve">ınırken, </w:t>
      </w:r>
      <w:r w:rsidR="00403F7B" w:rsidRPr="00AF425C">
        <w:rPr>
          <w:shd w:val="clear" w:color="auto" w:fill="FFFFFF"/>
        </w:rPr>
        <w:t>ekonominin</w:t>
      </w:r>
      <w:r w:rsidRPr="00AF425C">
        <w:rPr>
          <w:shd w:val="clear" w:color="auto" w:fill="FFFFFF"/>
        </w:rPr>
        <w:t xml:space="preserve"> </w:t>
      </w:r>
      <w:r w:rsidR="00A07606" w:rsidRPr="00AF425C">
        <w:rPr>
          <w:shd w:val="clear" w:color="auto" w:fill="FFFFFF"/>
        </w:rPr>
        <w:t>nihai amacı olan mal ve hizmet tedariki</w:t>
      </w:r>
      <w:r w:rsidR="004D16E0" w:rsidRPr="00AF425C">
        <w:rPr>
          <w:shd w:val="clear" w:color="auto" w:fill="FFFFFF"/>
        </w:rPr>
        <w:t xml:space="preserve"> </w:t>
      </w:r>
      <w:r w:rsidR="000B4C33" w:rsidRPr="00AF425C">
        <w:rPr>
          <w:shd w:val="clear" w:color="auto" w:fill="FFFFFF"/>
        </w:rPr>
        <w:t>buna ilişkin ödeme</w:t>
      </w:r>
      <w:r w:rsidR="000F01F4" w:rsidRPr="00AF425C">
        <w:rPr>
          <w:shd w:val="clear" w:color="auto" w:fill="FFFFFF"/>
        </w:rPr>
        <w:t xml:space="preserve">ler sisteminin </w:t>
      </w:r>
      <w:r w:rsidR="00A07606" w:rsidRPr="00AF425C">
        <w:rPr>
          <w:shd w:val="clear" w:color="auto" w:fill="FFFFFF"/>
        </w:rPr>
        <w:t>dışın</w:t>
      </w:r>
      <w:r w:rsidR="000F01F4" w:rsidRPr="00AF425C">
        <w:rPr>
          <w:shd w:val="clear" w:color="auto" w:fill="FFFFFF"/>
        </w:rPr>
        <w:t xml:space="preserve">a </w:t>
      </w:r>
      <w:r w:rsidR="00403F7B" w:rsidRPr="00AF425C">
        <w:rPr>
          <w:shd w:val="clear" w:color="auto" w:fill="FFFFFF"/>
        </w:rPr>
        <w:t>itilmesinin</w:t>
      </w:r>
      <w:r w:rsidR="000F01F4" w:rsidRPr="00AF425C">
        <w:rPr>
          <w:shd w:val="clear" w:color="auto" w:fill="FFFFFF"/>
        </w:rPr>
        <w:t xml:space="preserve"> </w:t>
      </w:r>
      <w:r w:rsidR="00C022DD" w:rsidRPr="00AF425C">
        <w:rPr>
          <w:shd w:val="clear" w:color="auto" w:fill="FFFFFF"/>
        </w:rPr>
        <w:t xml:space="preserve">ülkemizde </w:t>
      </w:r>
      <w:r w:rsidR="000D07B8" w:rsidRPr="00AF425C">
        <w:rPr>
          <w:shd w:val="clear" w:color="auto" w:fill="FFFFFF"/>
        </w:rPr>
        <w:t xml:space="preserve">yoğun ilgi gören kripto para </w:t>
      </w:r>
      <w:r w:rsidR="00403F7B" w:rsidRPr="00AF425C">
        <w:rPr>
          <w:shd w:val="clear" w:color="auto" w:fill="FFFFFF"/>
        </w:rPr>
        <w:t>borsaları</w:t>
      </w:r>
      <w:r w:rsidR="00D23A0E" w:rsidRPr="00AF425C">
        <w:rPr>
          <w:shd w:val="clear" w:color="auto" w:fill="FFFFFF"/>
        </w:rPr>
        <w:t xml:space="preserve"> </w:t>
      </w:r>
      <w:r w:rsidR="00403F7B" w:rsidRPr="00AF425C">
        <w:rPr>
          <w:shd w:val="clear" w:color="auto" w:fill="FFFFFF"/>
        </w:rPr>
        <w:t>v</w:t>
      </w:r>
      <w:r w:rsidR="00D23A0E" w:rsidRPr="00AF425C">
        <w:rPr>
          <w:shd w:val="clear" w:color="auto" w:fill="FFFFFF"/>
        </w:rPr>
        <w:t>eya bu maksatla hizmet</w:t>
      </w:r>
      <w:r w:rsidR="00992323" w:rsidRPr="00AF425C">
        <w:rPr>
          <w:shd w:val="clear" w:color="auto" w:fill="FFFFFF"/>
        </w:rPr>
        <w:t>i</w:t>
      </w:r>
      <w:r w:rsidR="00D23A0E" w:rsidRPr="00AF425C">
        <w:rPr>
          <w:shd w:val="clear" w:color="auto" w:fill="FFFFFF"/>
        </w:rPr>
        <w:t xml:space="preserve"> veren </w:t>
      </w:r>
      <w:r w:rsidR="00992323" w:rsidRPr="00AF425C">
        <w:rPr>
          <w:shd w:val="clear" w:color="auto" w:fill="FFFFFF"/>
        </w:rPr>
        <w:t xml:space="preserve">şirketler </w:t>
      </w:r>
      <w:r w:rsidR="000D07B8" w:rsidRPr="00AF425C">
        <w:rPr>
          <w:shd w:val="clear" w:color="auto" w:fill="FFFFFF"/>
        </w:rPr>
        <w:t>üzerinde ne gibi bir etki yapacağını kestirmek zordur.</w:t>
      </w:r>
    </w:p>
    <w:p w14:paraId="35257197" w14:textId="77777777" w:rsidR="00AF6479" w:rsidRDefault="00AF6479" w:rsidP="00FF1C80">
      <w:pPr>
        <w:pStyle w:val="NormalWeb"/>
        <w:spacing w:before="0" w:beforeAutospacing="0" w:after="0" w:afterAutospacing="0"/>
        <w:jc w:val="both"/>
        <w:rPr>
          <w:shd w:val="clear" w:color="auto" w:fill="FFFFFF"/>
        </w:rPr>
      </w:pPr>
    </w:p>
    <w:p w14:paraId="39748752" w14:textId="3C5572E4" w:rsidR="00DE64C8" w:rsidRPr="00AF425C" w:rsidRDefault="00E537DA" w:rsidP="00FF1C80">
      <w:pPr>
        <w:pStyle w:val="NormalWeb"/>
        <w:spacing w:before="0" w:beforeAutospacing="0" w:after="0" w:afterAutospacing="0"/>
        <w:jc w:val="both"/>
        <w:rPr>
          <w:shd w:val="clear" w:color="auto" w:fill="FFFFFF"/>
        </w:rPr>
      </w:pPr>
      <w:r w:rsidRPr="00AF425C">
        <w:rPr>
          <w:shd w:val="clear" w:color="auto" w:fill="FFFFFF"/>
        </w:rPr>
        <w:t>Ancak</w:t>
      </w:r>
      <w:r w:rsidR="00B60E65" w:rsidRPr="00AF425C">
        <w:rPr>
          <w:shd w:val="clear" w:color="auto" w:fill="FFFFFF"/>
        </w:rPr>
        <w:t xml:space="preserve"> </w:t>
      </w:r>
      <w:r w:rsidR="009B0545" w:rsidRPr="00AF425C">
        <w:rPr>
          <w:shd w:val="clear" w:color="auto" w:fill="FFFFFF"/>
        </w:rPr>
        <w:t>belirtmek</w:t>
      </w:r>
      <w:r w:rsidR="00B60E65" w:rsidRPr="00AF425C">
        <w:rPr>
          <w:shd w:val="clear" w:color="auto" w:fill="FFFFFF"/>
        </w:rPr>
        <w:t xml:space="preserve"> gerekir ki, </w:t>
      </w:r>
      <w:r w:rsidRPr="00AF425C">
        <w:rPr>
          <w:shd w:val="clear" w:color="auto" w:fill="FFFFFF"/>
        </w:rPr>
        <w:t>Yönetmelikle getirilen yasaklamanın uygu</w:t>
      </w:r>
      <w:r w:rsidR="00671203" w:rsidRPr="00AF425C">
        <w:rPr>
          <w:shd w:val="clear" w:color="auto" w:fill="FFFFFF"/>
        </w:rPr>
        <w:t>la</w:t>
      </w:r>
      <w:r w:rsidRPr="00AF425C">
        <w:rPr>
          <w:shd w:val="clear" w:color="auto" w:fill="FFFFFF"/>
        </w:rPr>
        <w:t>nması noktasında bir</w:t>
      </w:r>
      <w:r w:rsidR="00671203" w:rsidRPr="00AF425C">
        <w:rPr>
          <w:shd w:val="clear" w:color="auto" w:fill="FFFFFF"/>
        </w:rPr>
        <w:t>takım</w:t>
      </w:r>
      <w:r w:rsidR="000C2EF0" w:rsidRPr="00AF425C">
        <w:rPr>
          <w:shd w:val="clear" w:color="auto" w:fill="FFFFFF"/>
        </w:rPr>
        <w:t xml:space="preserve"> </w:t>
      </w:r>
      <w:r w:rsidRPr="00AF425C">
        <w:rPr>
          <w:shd w:val="clear" w:color="auto" w:fill="FFFFFF"/>
        </w:rPr>
        <w:t xml:space="preserve">tereddütler </w:t>
      </w:r>
      <w:r w:rsidR="001A7BAE" w:rsidRPr="00AF425C">
        <w:rPr>
          <w:shd w:val="clear" w:color="auto" w:fill="FFFFFF"/>
        </w:rPr>
        <w:t>mevcuttur</w:t>
      </w:r>
      <w:r w:rsidRPr="00AF425C">
        <w:rPr>
          <w:shd w:val="clear" w:color="auto" w:fill="FFFFFF"/>
        </w:rPr>
        <w:t xml:space="preserve">. </w:t>
      </w:r>
      <w:r w:rsidR="001A7BAE" w:rsidRPr="00AF425C">
        <w:rPr>
          <w:shd w:val="clear" w:color="auto" w:fill="FFFFFF"/>
        </w:rPr>
        <w:t>H</w:t>
      </w:r>
      <w:r w:rsidR="00671203" w:rsidRPr="00AF425C">
        <w:rPr>
          <w:shd w:val="clear" w:color="auto" w:fill="FFFFFF"/>
        </w:rPr>
        <w:t xml:space="preserve">ukuken tanımlanmış </w:t>
      </w:r>
      <w:r w:rsidR="008B42FE" w:rsidRPr="00AF425C">
        <w:rPr>
          <w:shd w:val="clear" w:color="auto" w:fill="FFFFFF"/>
        </w:rPr>
        <w:t xml:space="preserve">bir aracı kurum </w:t>
      </w:r>
      <w:r w:rsidRPr="00AF425C">
        <w:rPr>
          <w:shd w:val="clear" w:color="auto" w:fill="FFFFFF"/>
        </w:rPr>
        <w:t xml:space="preserve">ve konvansiyonel anlamda kayıt </w:t>
      </w:r>
      <w:r w:rsidR="00671203" w:rsidRPr="00AF425C">
        <w:rPr>
          <w:shd w:val="clear" w:color="auto" w:fill="FFFFFF"/>
        </w:rPr>
        <w:t>sistemi bulunmadığından</w:t>
      </w:r>
      <w:r w:rsidRPr="00AF425C">
        <w:rPr>
          <w:shd w:val="clear" w:color="auto" w:fill="FFFFFF"/>
        </w:rPr>
        <w:t xml:space="preserve">, kripto varlık işlemlerinin </w:t>
      </w:r>
      <w:r w:rsidR="008B42FE" w:rsidRPr="00AF425C">
        <w:rPr>
          <w:shd w:val="clear" w:color="auto" w:fill="FFFFFF"/>
        </w:rPr>
        <w:t xml:space="preserve">bir mal veya hizmet karşılığı olup </w:t>
      </w:r>
      <w:r w:rsidRPr="00AF425C">
        <w:rPr>
          <w:shd w:val="clear" w:color="auto" w:fill="FFFFFF"/>
        </w:rPr>
        <w:t>olmadığının</w:t>
      </w:r>
      <w:r w:rsidR="008B42FE" w:rsidRPr="00AF425C">
        <w:rPr>
          <w:shd w:val="clear" w:color="auto" w:fill="FFFFFF"/>
        </w:rPr>
        <w:t xml:space="preserve"> bilinmesi </w:t>
      </w:r>
      <w:r w:rsidR="004D6537" w:rsidRPr="00AF425C">
        <w:rPr>
          <w:shd w:val="clear" w:color="auto" w:fill="FFFFFF"/>
        </w:rPr>
        <w:t>kolay değildir. Bu</w:t>
      </w:r>
      <w:r w:rsidR="007073E4" w:rsidRPr="00AF425C">
        <w:rPr>
          <w:shd w:val="clear" w:color="auto" w:fill="FFFFFF"/>
        </w:rPr>
        <w:t xml:space="preserve"> </w:t>
      </w:r>
      <w:r w:rsidR="004D6537" w:rsidRPr="00AF425C">
        <w:rPr>
          <w:shd w:val="clear" w:color="auto" w:fill="FFFFFF"/>
        </w:rPr>
        <w:t>durumu ispata yarayan fat</w:t>
      </w:r>
      <w:r w:rsidR="00671203" w:rsidRPr="00AF425C">
        <w:rPr>
          <w:shd w:val="clear" w:color="auto" w:fill="FFFFFF"/>
        </w:rPr>
        <w:t xml:space="preserve">ura </w:t>
      </w:r>
      <w:r w:rsidR="004D6537" w:rsidRPr="00AF425C">
        <w:rPr>
          <w:shd w:val="clear" w:color="auto" w:fill="FFFFFF"/>
        </w:rPr>
        <w:t xml:space="preserve">veya benzeri bir </w:t>
      </w:r>
      <w:r w:rsidR="007073E4" w:rsidRPr="00AF425C">
        <w:rPr>
          <w:shd w:val="clear" w:color="auto" w:fill="FFFFFF"/>
        </w:rPr>
        <w:t>belge</w:t>
      </w:r>
      <w:r w:rsidR="004D6537" w:rsidRPr="00AF425C">
        <w:rPr>
          <w:shd w:val="clear" w:color="auto" w:fill="FFFFFF"/>
        </w:rPr>
        <w:t xml:space="preserve"> olmadığı </w:t>
      </w:r>
      <w:r w:rsidR="00D13FB4" w:rsidRPr="00AF425C">
        <w:rPr>
          <w:shd w:val="clear" w:color="auto" w:fill="FFFFFF"/>
        </w:rPr>
        <w:t>sürece</w:t>
      </w:r>
      <w:r w:rsidR="004D6537" w:rsidRPr="00AF425C">
        <w:rPr>
          <w:shd w:val="clear" w:color="auto" w:fill="FFFFFF"/>
        </w:rPr>
        <w:t xml:space="preserve"> </w:t>
      </w:r>
      <w:r w:rsidR="00DB2807" w:rsidRPr="00AF425C">
        <w:rPr>
          <w:shd w:val="clear" w:color="auto" w:fill="FFFFFF"/>
        </w:rPr>
        <w:t>tamamen</w:t>
      </w:r>
      <w:r w:rsidR="004D6537" w:rsidRPr="00AF425C">
        <w:rPr>
          <w:shd w:val="clear" w:color="auto" w:fill="FFFFFF"/>
        </w:rPr>
        <w:t xml:space="preserve"> </w:t>
      </w:r>
      <w:r w:rsidR="00DB2807" w:rsidRPr="00AF425C">
        <w:rPr>
          <w:shd w:val="clear" w:color="auto" w:fill="FFFFFF"/>
        </w:rPr>
        <w:t>üçüncü</w:t>
      </w:r>
      <w:r w:rsidR="0031477D" w:rsidRPr="00AF425C">
        <w:rPr>
          <w:shd w:val="clear" w:color="auto" w:fill="FFFFFF"/>
        </w:rPr>
        <w:t xml:space="preserve"> kişi konumdaki aracılar eliyle gerçekleşecek kripto </w:t>
      </w:r>
      <w:r w:rsidR="00DB2807" w:rsidRPr="00AF425C">
        <w:rPr>
          <w:shd w:val="clear" w:color="auto" w:fill="FFFFFF"/>
        </w:rPr>
        <w:t>varlık</w:t>
      </w:r>
      <w:r w:rsidR="0031477D" w:rsidRPr="00AF425C">
        <w:rPr>
          <w:shd w:val="clear" w:color="auto" w:fill="FFFFFF"/>
        </w:rPr>
        <w:t xml:space="preserve"> </w:t>
      </w:r>
      <w:r w:rsidR="00DB2807" w:rsidRPr="00AF425C">
        <w:rPr>
          <w:shd w:val="clear" w:color="auto" w:fill="FFFFFF"/>
        </w:rPr>
        <w:t>transferlerinin</w:t>
      </w:r>
      <w:r w:rsidR="0031477D" w:rsidRPr="00AF425C">
        <w:rPr>
          <w:shd w:val="clear" w:color="auto" w:fill="FFFFFF"/>
        </w:rPr>
        <w:t xml:space="preserve"> n</w:t>
      </w:r>
      <w:r w:rsidR="00DB2807" w:rsidRPr="00AF425C">
        <w:rPr>
          <w:shd w:val="clear" w:color="auto" w:fill="FFFFFF"/>
        </w:rPr>
        <w:t>e</w:t>
      </w:r>
      <w:r w:rsidR="0031477D" w:rsidRPr="00AF425C">
        <w:rPr>
          <w:shd w:val="clear" w:color="auto" w:fill="FFFFFF"/>
        </w:rPr>
        <w:t xml:space="preserve"> maksatla yapıldığının hukuken </w:t>
      </w:r>
      <w:r w:rsidR="007073E4" w:rsidRPr="00AF425C">
        <w:rPr>
          <w:shd w:val="clear" w:color="auto" w:fill="FFFFFF"/>
        </w:rPr>
        <w:t xml:space="preserve">tespiti </w:t>
      </w:r>
      <w:r w:rsidR="0031477D" w:rsidRPr="00AF425C">
        <w:rPr>
          <w:shd w:val="clear" w:color="auto" w:fill="FFFFFF"/>
        </w:rPr>
        <w:t xml:space="preserve">mümkün </w:t>
      </w:r>
      <w:r w:rsidR="00F07D69" w:rsidRPr="00AF425C">
        <w:rPr>
          <w:shd w:val="clear" w:color="auto" w:fill="FFFFFF"/>
        </w:rPr>
        <w:t>olmayacaktır</w:t>
      </w:r>
      <w:r w:rsidR="0031477D" w:rsidRPr="00AF425C">
        <w:rPr>
          <w:shd w:val="clear" w:color="auto" w:fill="FFFFFF"/>
        </w:rPr>
        <w:t>.</w:t>
      </w:r>
      <w:r w:rsidR="000C2EF0" w:rsidRPr="00AF425C">
        <w:rPr>
          <w:shd w:val="clear" w:color="auto" w:fill="FFFFFF"/>
        </w:rPr>
        <w:t xml:space="preserve"> </w:t>
      </w:r>
      <w:r w:rsidR="009412BB" w:rsidRPr="00AF425C">
        <w:rPr>
          <w:shd w:val="clear" w:color="auto" w:fill="FFFFFF"/>
        </w:rPr>
        <w:t>Dahası söz konusu yasağa rağmen, her nasılsa edimin kripto varlık transferi yoluyla ifa edildiği borç ilişkilerinin akıbeti ve yasağa uymamanın hukuki sonuçları da Yönetmelikte belirlenmemiştir.</w:t>
      </w:r>
      <w:r w:rsidR="00DE64C8" w:rsidRPr="00AF425C">
        <w:rPr>
          <w:shd w:val="clear" w:color="auto" w:fill="FFFFFF"/>
        </w:rPr>
        <w:t xml:space="preserve"> </w:t>
      </w:r>
    </w:p>
    <w:p w14:paraId="4C02CF12" w14:textId="474ED52C" w:rsidR="003B06FC" w:rsidRPr="00AF425C" w:rsidRDefault="00DE64C8" w:rsidP="00FF1C80">
      <w:pPr>
        <w:pStyle w:val="NormalWeb"/>
        <w:spacing w:before="0" w:beforeAutospacing="0" w:after="0" w:afterAutospacing="0"/>
        <w:jc w:val="both"/>
        <w:rPr>
          <w:shd w:val="clear" w:color="auto" w:fill="FFFFFF"/>
        </w:rPr>
      </w:pPr>
      <w:r w:rsidRPr="00AF425C">
        <w:rPr>
          <w:shd w:val="clear" w:color="auto" w:fill="FFFFFF"/>
        </w:rPr>
        <w:t xml:space="preserve">Bu haliyle </w:t>
      </w:r>
      <w:r w:rsidR="00716CD0" w:rsidRPr="00AF425C">
        <w:rPr>
          <w:shd w:val="clear" w:color="auto" w:fill="FFFFFF"/>
        </w:rPr>
        <w:t>Yönetmeliğin</w:t>
      </w:r>
      <w:r w:rsidRPr="00AF425C">
        <w:rPr>
          <w:shd w:val="clear" w:color="auto" w:fill="FFFFFF"/>
        </w:rPr>
        <w:t>,</w:t>
      </w:r>
      <w:r w:rsidR="00716CD0" w:rsidRPr="00AF425C">
        <w:rPr>
          <w:shd w:val="clear" w:color="auto" w:fill="FFFFFF"/>
        </w:rPr>
        <w:t xml:space="preserve"> </w:t>
      </w:r>
      <w:r w:rsidR="00F07D69" w:rsidRPr="00AF425C">
        <w:rPr>
          <w:shd w:val="clear" w:color="auto" w:fill="FFFFFF"/>
        </w:rPr>
        <w:t>düzenlemeden</w:t>
      </w:r>
      <w:r w:rsidR="00716CD0" w:rsidRPr="00AF425C">
        <w:rPr>
          <w:shd w:val="clear" w:color="auto" w:fill="FFFFFF"/>
        </w:rPr>
        <w:t xml:space="preserve"> çok kapsamı, </w:t>
      </w:r>
      <w:r w:rsidR="003542D6" w:rsidRPr="00AF425C">
        <w:rPr>
          <w:shd w:val="clear" w:color="auto" w:fill="FFFFFF"/>
        </w:rPr>
        <w:t>etkinliği</w:t>
      </w:r>
      <w:r w:rsidR="00716CD0" w:rsidRPr="00AF425C">
        <w:rPr>
          <w:shd w:val="clear" w:color="auto" w:fill="FFFFFF"/>
        </w:rPr>
        <w:t xml:space="preserve"> ve pratikte uygulanabilirliği belir</w:t>
      </w:r>
      <w:r w:rsidR="003542D6" w:rsidRPr="00AF425C">
        <w:rPr>
          <w:shd w:val="clear" w:color="auto" w:fill="FFFFFF"/>
        </w:rPr>
        <w:t>s</w:t>
      </w:r>
      <w:r w:rsidR="00716CD0" w:rsidRPr="00AF425C">
        <w:rPr>
          <w:shd w:val="clear" w:color="auto" w:fill="FFFFFF"/>
        </w:rPr>
        <w:t xml:space="preserve">iz birtakım yasaklamalar getirdiğini </w:t>
      </w:r>
      <w:r w:rsidR="00F07D69" w:rsidRPr="00AF425C">
        <w:rPr>
          <w:shd w:val="clear" w:color="auto" w:fill="FFFFFF"/>
        </w:rPr>
        <w:t>söylememek</w:t>
      </w:r>
      <w:r w:rsidR="00716CD0" w:rsidRPr="00AF425C">
        <w:rPr>
          <w:shd w:val="clear" w:color="auto" w:fill="FFFFFF"/>
        </w:rPr>
        <w:t xml:space="preserve"> yerinde olacaktır. </w:t>
      </w:r>
    </w:p>
    <w:p w14:paraId="683BD1DF" w14:textId="77777777" w:rsidR="00AF6479" w:rsidRDefault="00AF6479" w:rsidP="00FF1C80">
      <w:pPr>
        <w:pStyle w:val="NormalWeb"/>
        <w:spacing w:before="0" w:beforeAutospacing="0" w:after="0" w:afterAutospacing="0"/>
        <w:jc w:val="both"/>
        <w:rPr>
          <w:color w:val="212529"/>
          <w:shd w:val="clear" w:color="auto" w:fill="FFFFFF"/>
        </w:rPr>
      </w:pPr>
    </w:p>
    <w:p w14:paraId="0FAA40E2" w14:textId="788382BF" w:rsidR="000D2775" w:rsidRPr="00AF425C" w:rsidRDefault="00D40695" w:rsidP="00FF1C80">
      <w:pPr>
        <w:pStyle w:val="NormalWeb"/>
        <w:spacing w:before="0" w:beforeAutospacing="0" w:after="0" w:afterAutospacing="0"/>
        <w:jc w:val="both"/>
        <w:rPr>
          <w:shd w:val="clear" w:color="auto" w:fill="FFFFFF"/>
        </w:rPr>
      </w:pPr>
      <w:r w:rsidRPr="00AF425C">
        <w:rPr>
          <w:color w:val="212529"/>
          <w:shd w:val="clear" w:color="auto" w:fill="FFFFFF"/>
        </w:rPr>
        <w:t xml:space="preserve">Teoride </w:t>
      </w:r>
      <w:r w:rsidR="00F07D69" w:rsidRPr="00AF425C">
        <w:rPr>
          <w:color w:val="212529"/>
          <w:shd w:val="clear" w:color="auto" w:fill="FFFFFF"/>
        </w:rPr>
        <w:t>olmasa</w:t>
      </w:r>
      <w:r w:rsidRPr="00AF425C">
        <w:rPr>
          <w:color w:val="212529"/>
          <w:shd w:val="clear" w:color="auto" w:fill="FFFFFF"/>
        </w:rPr>
        <w:t xml:space="preserve"> bile pratikte</w:t>
      </w:r>
      <w:r w:rsidR="00F07D69" w:rsidRPr="00AF425C">
        <w:rPr>
          <w:color w:val="212529"/>
          <w:shd w:val="clear" w:color="auto" w:fill="FFFFFF"/>
        </w:rPr>
        <w:t>,</w:t>
      </w:r>
      <w:r w:rsidRPr="00AF425C">
        <w:rPr>
          <w:color w:val="212529"/>
          <w:shd w:val="clear" w:color="auto" w:fill="FFFFFF"/>
        </w:rPr>
        <w:t xml:space="preserve"> </w:t>
      </w:r>
      <w:r w:rsidR="00BF5183" w:rsidRPr="00AF425C">
        <w:rPr>
          <w:color w:val="212529"/>
          <w:shd w:val="clear" w:color="auto" w:fill="FFFFFF"/>
        </w:rPr>
        <w:t xml:space="preserve">küçük yatırıcının </w:t>
      </w:r>
      <w:r w:rsidR="00DE64C8" w:rsidRPr="00AF425C">
        <w:rPr>
          <w:color w:val="212529"/>
          <w:shd w:val="clear" w:color="auto" w:fill="FFFFFF"/>
        </w:rPr>
        <w:t xml:space="preserve">kripto işlemlerini </w:t>
      </w:r>
      <w:r w:rsidR="00BF5183" w:rsidRPr="00AF425C">
        <w:rPr>
          <w:color w:val="212529"/>
          <w:shd w:val="clear" w:color="auto" w:fill="FFFFFF"/>
        </w:rPr>
        <w:t xml:space="preserve">kendi </w:t>
      </w:r>
      <w:r w:rsidR="00F07D69" w:rsidRPr="00AF425C">
        <w:rPr>
          <w:color w:val="212529"/>
          <w:shd w:val="clear" w:color="auto" w:fill="FFFFFF"/>
        </w:rPr>
        <w:t>başına</w:t>
      </w:r>
      <w:r w:rsidR="00BF5183" w:rsidRPr="00AF425C">
        <w:rPr>
          <w:color w:val="212529"/>
          <w:shd w:val="clear" w:color="auto" w:fill="FFFFFF"/>
        </w:rPr>
        <w:t xml:space="preserve"> </w:t>
      </w:r>
      <w:r w:rsidR="00F07D69" w:rsidRPr="00AF425C">
        <w:rPr>
          <w:color w:val="212529"/>
          <w:shd w:val="clear" w:color="auto" w:fill="FFFFFF"/>
        </w:rPr>
        <w:t>gerçekleştirebilmesi</w:t>
      </w:r>
      <w:r w:rsidR="0097014C" w:rsidRPr="00AF425C">
        <w:rPr>
          <w:color w:val="212529"/>
          <w:shd w:val="clear" w:color="auto" w:fill="FFFFFF"/>
        </w:rPr>
        <w:t xml:space="preserve"> kolay olmadığından, </w:t>
      </w:r>
      <w:r w:rsidR="00837D3D" w:rsidRPr="00AF425C">
        <w:rPr>
          <w:color w:val="212529"/>
          <w:shd w:val="clear" w:color="auto" w:fill="FFFFFF"/>
        </w:rPr>
        <w:t xml:space="preserve">söz konusu </w:t>
      </w:r>
      <w:r w:rsidR="005A3C18" w:rsidRPr="00AF425C">
        <w:rPr>
          <w:color w:val="212529"/>
          <w:shd w:val="clear" w:color="auto" w:fill="FFFFFF"/>
        </w:rPr>
        <w:t>işlemler</w:t>
      </w:r>
      <w:r w:rsidR="00837D3D" w:rsidRPr="00AF425C">
        <w:rPr>
          <w:color w:val="212529"/>
          <w:shd w:val="clear" w:color="auto" w:fill="FFFFFF"/>
        </w:rPr>
        <w:t xml:space="preserve"> bir takım aracı şi</w:t>
      </w:r>
      <w:r w:rsidR="005A3C18" w:rsidRPr="00AF425C">
        <w:rPr>
          <w:color w:val="212529"/>
          <w:shd w:val="clear" w:color="auto" w:fill="FFFFFF"/>
        </w:rPr>
        <w:t xml:space="preserve">rketler </w:t>
      </w:r>
      <w:r w:rsidR="0097014C" w:rsidRPr="00AF425C">
        <w:rPr>
          <w:color w:val="212529"/>
          <w:shd w:val="clear" w:color="auto" w:fill="FFFFFF"/>
        </w:rPr>
        <w:t xml:space="preserve">eliyle </w:t>
      </w:r>
      <w:r w:rsidR="001D38CF" w:rsidRPr="00AF425C">
        <w:rPr>
          <w:color w:val="212529"/>
          <w:shd w:val="clear" w:color="auto" w:fill="FFFFFF"/>
        </w:rPr>
        <w:t>yürütülmektedir</w:t>
      </w:r>
      <w:r w:rsidR="005A3C18" w:rsidRPr="00AF425C">
        <w:rPr>
          <w:color w:val="212529"/>
          <w:shd w:val="clear" w:color="auto" w:fill="FFFFFF"/>
        </w:rPr>
        <w:t xml:space="preserve">. </w:t>
      </w:r>
      <w:r w:rsidR="00DA6C1C" w:rsidRPr="00AF425C">
        <w:rPr>
          <w:color w:val="212529"/>
          <w:shd w:val="clear" w:color="auto" w:fill="FFFFFF"/>
        </w:rPr>
        <w:t xml:space="preserve">Bugünkü haliyle Türkiye’de bu kurumalara </w:t>
      </w:r>
      <w:r w:rsidR="004C5078" w:rsidRPr="00AF425C">
        <w:rPr>
          <w:color w:val="212529"/>
          <w:shd w:val="clear" w:color="auto" w:fill="FFFFFF"/>
        </w:rPr>
        <w:t xml:space="preserve">paralarını </w:t>
      </w:r>
      <w:r w:rsidR="00EE6C92" w:rsidRPr="00AF425C">
        <w:rPr>
          <w:color w:val="212529"/>
          <w:shd w:val="clear" w:color="auto" w:fill="FFFFFF"/>
        </w:rPr>
        <w:t xml:space="preserve">teslim </w:t>
      </w:r>
      <w:r w:rsidR="004C5078" w:rsidRPr="00AF425C">
        <w:rPr>
          <w:color w:val="212529"/>
          <w:shd w:val="clear" w:color="auto" w:fill="FFFFFF"/>
        </w:rPr>
        <w:t xml:space="preserve">eden </w:t>
      </w:r>
      <w:r w:rsidR="001D38CF" w:rsidRPr="00AF425C">
        <w:rPr>
          <w:color w:val="212529"/>
          <w:shd w:val="clear" w:color="auto" w:fill="FFFFFF"/>
        </w:rPr>
        <w:t xml:space="preserve">kişiler </w:t>
      </w:r>
      <w:r w:rsidR="004C5078" w:rsidRPr="00AF425C">
        <w:rPr>
          <w:color w:val="212529"/>
          <w:shd w:val="clear" w:color="auto" w:fill="FFFFFF"/>
        </w:rPr>
        <w:t>tamamen güven esasına dayalı olarak hareket etmekte</w:t>
      </w:r>
      <w:r w:rsidR="00EE6C92" w:rsidRPr="00AF425C">
        <w:rPr>
          <w:color w:val="212529"/>
          <w:shd w:val="clear" w:color="auto" w:fill="FFFFFF"/>
        </w:rPr>
        <w:t xml:space="preserve">dirler. </w:t>
      </w:r>
      <w:r w:rsidR="0097014C" w:rsidRPr="00AF425C">
        <w:rPr>
          <w:color w:val="212529"/>
          <w:shd w:val="clear" w:color="auto" w:fill="FFFFFF"/>
        </w:rPr>
        <w:t>Bu açıd</w:t>
      </w:r>
      <w:r w:rsidR="00083D8C" w:rsidRPr="00AF425C">
        <w:rPr>
          <w:color w:val="212529"/>
          <w:shd w:val="clear" w:color="auto" w:fill="FFFFFF"/>
        </w:rPr>
        <w:t>a</w:t>
      </w:r>
      <w:r w:rsidR="0097014C" w:rsidRPr="00AF425C">
        <w:rPr>
          <w:color w:val="212529"/>
          <w:shd w:val="clear" w:color="auto" w:fill="FFFFFF"/>
        </w:rPr>
        <w:t>n bakıldığında</w:t>
      </w:r>
      <w:r w:rsidR="00290CAC" w:rsidRPr="00AF425C">
        <w:rPr>
          <w:color w:val="212529"/>
          <w:shd w:val="clear" w:color="auto" w:fill="FFFFFF"/>
        </w:rPr>
        <w:t>,</w:t>
      </w:r>
      <w:r w:rsidR="0097014C" w:rsidRPr="00AF425C">
        <w:rPr>
          <w:color w:val="212529"/>
          <w:shd w:val="clear" w:color="auto" w:fill="FFFFFF"/>
        </w:rPr>
        <w:t xml:space="preserve"> </w:t>
      </w:r>
      <w:r w:rsidR="00083D8C" w:rsidRPr="00AF425C">
        <w:rPr>
          <w:color w:val="212529"/>
          <w:shd w:val="clear" w:color="auto" w:fill="FFFFFF"/>
        </w:rPr>
        <w:t xml:space="preserve">Yönetmelikle getirilen </w:t>
      </w:r>
      <w:r w:rsidR="00CC0629" w:rsidRPr="00AF425C">
        <w:rPr>
          <w:color w:val="212529"/>
          <w:shd w:val="clear" w:color="auto" w:fill="FFFFFF"/>
        </w:rPr>
        <w:t>hükümlerin</w:t>
      </w:r>
      <w:r w:rsidR="00E71105" w:rsidRPr="00AF425C">
        <w:rPr>
          <w:color w:val="212529"/>
          <w:shd w:val="clear" w:color="auto" w:fill="FFFFFF"/>
        </w:rPr>
        <w:t>,</w:t>
      </w:r>
      <w:r w:rsidR="00083D8C" w:rsidRPr="00AF425C">
        <w:rPr>
          <w:color w:val="212529"/>
          <w:shd w:val="clear" w:color="auto" w:fill="FFFFFF"/>
        </w:rPr>
        <w:t xml:space="preserve"> Merkez Bankası açıklamasında</w:t>
      </w:r>
      <w:r w:rsidR="00EE6C92" w:rsidRPr="00AF425C">
        <w:rPr>
          <w:color w:val="212529"/>
          <w:shd w:val="clear" w:color="auto" w:fill="FFFFFF"/>
        </w:rPr>
        <w:t xml:space="preserve"> </w:t>
      </w:r>
      <w:r w:rsidR="00083D8C" w:rsidRPr="00AF425C">
        <w:rPr>
          <w:color w:val="212529"/>
          <w:shd w:val="clear" w:color="auto" w:fill="FFFFFF"/>
        </w:rPr>
        <w:t>belirtil</w:t>
      </w:r>
      <w:r w:rsidR="000D2775" w:rsidRPr="00AF425C">
        <w:rPr>
          <w:color w:val="212529"/>
          <w:shd w:val="clear" w:color="auto" w:fill="FFFFFF"/>
        </w:rPr>
        <w:t xml:space="preserve">en </w:t>
      </w:r>
      <w:r w:rsidR="00E71105" w:rsidRPr="00AF425C">
        <w:rPr>
          <w:color w:val="212529"/>
          <w:shd w:val="clear" w:color="auto" w:fill="FFFFFF"/>
        </w:rPr>
        <w:t>kripto varlıkların herhangi bir düzenleme ve denetim mekanizmasına tabi olmaması, merkezi bir muhatabın bulunmaması</w:t>
      </w:r>
      <w:r w:rsidR="00290CAC" w:rsidRPr="00AF425C">
        <w:rPr>
          <w:color w:val="212529"/>
          <w:shd w:val="clear" w:color="auto" w:fill="FFFFFF"/>
        </w:rPr>
        <w:t xml:space="preserve"> ve </w:t>
      </w:r>
      <w:r w:rsidR="00E71105" w:rsidRPr="00AF425C">
        <w:rPr>
          <w:color w:val="212529"/>
          <w:shd w:val="clear" w:color="auto" w:fill="FFFFFF"/>
        </w:rPr>
        <w:t>yasadışı faaliyetlerde kullanılabilmesi</w:t>
      </w:r>
      <w:r w:rsidR="006936A3" w:rsidRPr="00AF425C">
        <w:rPr>
          <w:color w:val="212529"/>
          <w:shd w:val="clear" w:color="auto" w:fill="FFFFFF"/>
        </w:rPr>
        <w:t xml:space="preserve"> gibi risklere çare oluşturmadığı açıktır. Söz konusu sakıncaların </w:t>
      </w:r>
      <w:r w:rsidR="00EE6C92" w:rsidRPr="00AF425C">
        <w:rPr>
          <w:color w:val="212529"/>
          <w:shd w:val="clear" w:color="auto" w:fill="FFFFFF"/>
        </w:rPr>
        <w:t>giderilmesi</w:t>
      </w:r>
      <w:r w:rsidR="006936A3" w:rsidRPr="00AF425C">
        <w:rPr>
          <w:color w:val="212529"/>
          <w:shd w:val="clear" w:color="auto" w:fill="FFFFFF"/>
        </w:rPr>
        <w:t xml:space="preserve"> noktasında, </w:t>
      </w:r>
      <w:r w:rsidR="000C5555" w:rsidRPr="00AF425C">
        <w:rPr>
          <w:color w:val="212529"/>
          <w:shd w:val="clear" w:color="auto" w:fill="FFFFFF"/>
        </w:rPr>
        <w:t>kripto</w:t>
      </w:r>
      <w:r w:rsidR="006936A3" w:rsidRPr="00AF425C">
        <w:rPr>
          <w:color w:val="212529"/>
          <w:shd w:val="clear" w:color="auto" w:fill="FFFFFF"/>
        </w:rPr>
        <w:t xml:space="preserve"> varlık işlemlerine aracılık eden </w:t>
      </w:r>
      <w:r w:rsidR="009B0545" w:rsidRPr="00AF425C">
        <w:rPr>
          <w:color w:val="212529"/>
          <w:shd w:val="clear" w:color="auto" w:fill="FFFFFF"/>
        </w:rPr>
        <w:t>kurumların</w:t>
      </w:r>
      <w:r w:rsidR="006936A3" w:rsidRPr="00AF425C">
        <w:rPr>
          <w:color w:val="212529"/>
          <w:shd w:val="clear" w:color="auto" w:fill="FFFFFF"/>
        </w:rPr>
        <w:t xml:space="preserve"> </w:t>
      </w:r>
      <w:r w:rsidR="000C5555" w:rsidRPr="00AF425C">
        <w:rPr>
          <w:color w:val="212529"/>
          <w:shd w:val="clear" w:color="auto" w:fill="FFFFFF"/>
        </w:rPr>
        <w:t xml:space="preserve">ve </w:t>
      </w:r>
      <w:r w:rsidR="006936A3" w:rsidRPr="00AF425C">
        <w:rPr>
          <w:color w:val="212529"/>
          <w:shd w:val="clear" w:color="auto" w:fill="FFFFFF"/>
        </w:rPr>
        <w:t xml:space="preserve">bu </w:t>
      </w:r>
      <w:r w:rsidR="000C5555" w:rsidRPr="00AF425C">
        <w:rPr>
          <w:color w:val="212529"/>
          <w:shd w:val="clear" w:color="auto" w:fill="FFFFFF"/>
        </w:rPr>
        <w:t xml:space="preserve">kapsamdaki </w:t>
      </w:r>
      <w:r w:rsidR="006936A3" w:rsidRPr="00AF425C">
        <w:rPr>
          <w:color w:val="212529"/>
          <w:shd w:val="clear" w:color="auto" w:fill="FFFFFF"/>
        </w:rPr>
        <w:t xml:space="preserve">faaliyetlerin hukuki </w:t>
      </w:r>
      <w:r w:rsidR="000C5555" w:rsidRPr="00AF425C">
        <w:rPr>
          <w:color w:val="212529"/>
          <w:shd w:val="clear" w:color="auto" w:fill="FFFFFF"/>
        </w:rPr>
        <w:t>güvenliği</w:t>
      </w:r>
      <w:r w:rsidR="00362106" w:rsidRPr="00AF425C">
        <w:rPr>
          <w:color w:val="212529"/>
          <w:shd w:val="clear" w:color="auto" w:fill="FFFFFF"/>
        </w:rPr>
        <w:t xml:space="preserve"> ve hesap </w:t>
      </w:r>
      <w:r w:rsidR="000C5555" w:rsidRPr="00AF425C">
        <w:rPr>
          <w:color w:val="212529"/>
          <w:shd w:val="clear" w:color="auto" w:fill="FFFFFF"/>
        </w:rPr>
        <w:t>verilebilirliği</w:t>
      </w:r>
      <w:r w:rsidR="00362106" w:rsidRPr="00AF425C">
        <w:rPr>
          <w:color w:val="212529"/>
          <w:shd w:val="clear" w:color="auto" w:fill="FFFFFF"/>
        </w:rPr>
        <w:t xml:space="preserve"> </w:t>
      </w:r>
      <w:r w:rsidR="00E94226" w:rsidRPr="00AF425C">
        <w:rPr>
          <w:color w:val="212529"/>
          <w:shd w:val="clear" w:color="auto" w:fill="FFFFFF"/>
        </w:rPr>
        <w:t>artırıcı</w:t>
      </w:r>
      <w:r w:rsidR="00362106" w:rsidRPr="00AF425C">
        <w:rPr>
          <w:color w:val="212529"/>
          <w:shd w:val="clear" w:color="auto" w:fill="FFFFFF"/>
        </w:rPr>
        <w:t xml:space="preserve"> d</w:t>
      </w:r>
      <w:r w:rsidR="000C5555" w:rsidRPr="00AF425C">
        <w:rPr>
          <w:color w:val="212529"/>
          <w:shd w:val="clear" w:color="auto" w:fill="FFFFFF"/>
        </w:rPr>
        <w:t>üzenleme</w:t>
      </w:r>
      <w:r w:rsidR="00E94226" w:rsidRPr="00AF425C">
        <w:rPr>
          <w:color w:val="212529"/>
          <w:shd w:val="clear" w:color="auto" w:fill="FFFFFF"/>
        </w:rPr>
        <w:t xml:space="preserve">lere tabi kılınması </w:t>
      </w:r>
      <w:r w:rsidR="00215817">
        <w:rPr>
          <w:color w:val="212529"/>
          <w:shd w:val="clear" w:color="auto" w:fill="FFFFFF"/>
        </w:rPr>
        <w:t>daha uygun bir yaklaşım olacaktır.</w:t>
      </w:r>
      <w:r w:rsidR="000C5555" w:rsidRPr="00AF425C">
        <w:rPr>
          <w:color w:val="212529"/>
          <w:shd w:val="clear" w:color="auto" w:fill="FFFFFF"/>
        </w:rPr>
        <w:t xml:space="preserve"> </w:t>
      </w:r>
    </w:p>
    <w:p w14:paraId="0AA62B3F" w14:textId="6D8A6CB7" w:rsidR="001F15CC" w:rsidRDefault="00A430D8" w:rsidP="00FF1C80">
      <w:pPr>
        <w:jc w:val="both"/>
        <w:rPr>
          <w:color w:val="212529"/>
          <w:shd w:val="clear" w:color="auto" w:fill="FFFFFF"/>
        </w:rPr>
      </w:pPr>
      <w:r w:rsidRPr="001F15CC">
        <w:rPr>
          <w:color w:val="212529"/>
          <w:shd w:val="clear" w:color="auto" w:fill="FFFFFF"/>
        </w:rPr>
        <w:t xml:space="preserve">Nitekim, </w:t>
      </w:r>
      <w:r w:rsidR="001F15CC">
        <w:rPr>
          <w:color w:val="212529"/>
          <w:shd w:val="clear" w:color="auto" w:fill="FFFFFF"/>
        </w:rPr>
        <w:t xml:space="preserve">Yönetmeliğin hemen ardından </w:t>
      </w:r>
      <w:r w:rsidR="008E3C09" w:rsidRPr="001F15CC">
        <w:rPr>
          <w:color w:val="212529"/>
          <w:shd w:val="clear" w:color="auto" w:fill="FFFFFF"/>
        </w:rPr>
        <w:t xml:space="preserve">hükümet kanadından yapılan </w:t>
      </w:r>
      <w:r w:rsidR="001F15CC" w:rsidRPr="001F15CC">
        <w:rPr>
          <w:color w:val="212529"/>
          <w:shd w:val="clear" w:color="auto" w:fill="FFFFFF"/>
        </w:rPr>
        <w:t>açıklamalarda</w:t>
      </w:r>
      <w:r w:rsidR="008E3C09" w:rsidRPr="001F15CC">
        <w:rPr>
          <w:color w:val="212529"/>
          <w:shd w:val="clear" w:color="auto" w:fill="FFFFFF"/>
        </w:rPr>
        <w:t xml:space="preserve"> </w:t>
      </w:r>
      <w:r w:rsidR="001F15CC">
        <w:rPr>
          <w:color w:val="212529"/>
          <w:shd w:val="clear" w:color="auto" w:fill="FFFFFF"/>
        </w:rPr>
        <w:t>bunun bir ön düzenleme olduğu, kripto para borsalarını ve platformlarla ilgili sermaye yeterliliği ve lisanslama gibi denetim ve güvence tedbirlerinin getirileceği belirtilmektedir.</w:t>
      </w:r>
      <w:r w:rsidR="001F15CC">
        <w:rPr>
          <w:rStyle w:val="DipnotBavurusu"/>
          <w:color w:val="212529"/>
          <w:shd w:val="clear" w:color="auto" w:fill="FFFFFF"/>
        </w:rPr>
        <w:footnoteReference w:id="4"/>
      </w:r>
    </w:p>
    <w:p w14:paraId="5B9A8E1C" w14:textId="77777777" w:rsidR="001F15CC" w:rsidRDefault="001F15CC" w:rsidP="00FF1C80">
      <w:pPr>
        <w:jc w:val="both"/>
        <w:rPr>
          <w:color w:val="212529"/>
          <w:shd w:val="clear" w:color="auto" w:fill="FFFFFF"/>
        </w:rPr>
      </w:pPr>
    </w:p>
    <w:p w14:paraId="09DE4526" w14:textId="3BFA00E1" w:rsidR="00A430D8" w:rsidRDefault="001F15CC" w:rsidP="00FF1C80">
      <w:pPr>
        <w:jc w:val="both"/>
        <w:rPr>
          <w:rFonts w:ascii="Mukta" w:hAnsi="Mukta"/>
          <w:color w:val="000000"/>
          <w:sz w:val="27"/>
          <w:szCs w:val="27"/>
        </w:rPr>
      </w:pPr>
      <w:r>
        <w:rPr>
          <w:color w:val="212529"/>
          <w:shd w:val="clear" w:color="auto" w:fill="FFFFFF"/>
        </w:rPr>
        <w:t xml:space="preserve"> </w:t>
      </w:r>
    </w:p>
    <w:p w14:paraId="394CE102" w14:textId="77777777" w:rsidR="00A430D8" w:rsidRPr="00AF425C" w:rsidRDefault="00A430D8" w:rsidP="00FF1C80">
      <w:pPr>
        <w:jc w:val="both"/>
        <w:rPr>
          <w:rFonts w:ascii="Arial" w:hAnsi="Arial" w:cs="Arial"/>
          <w:color w:val="212529"/>
          <w:sz w:val="22"/>
          <w:szCs w:val="22"/>
          <w:shd w:val="clear" w:color="auto" w:fill="FFFFFF"/>
        </w:rPr>
      </w:pPr>
    </w:p>
    <w:p w14:paraId="66041482" w14:textId="77777777" w:rsidR="00083D8C" w:rsidRPr="00AF425C" w:rsidRDefault="00083D8C" w:rsidP="00FF1C80">
      <w:pPr>
        <w:jc w:val="both"/>
      </w:pPr>
    </w:p>
    <w:p w14:paraId="717651DC" w14:textId="77777777" w:rsidR="004A0623" w:rsidRPr="00AF425C" w:rsidRDefault="004A0623" w:rsidP="00FF1C80">
      <w:pPr>
        <w:jc w:val="both"/>
        <w:rPr>
          <w:b/>
          <w:color w:val="1B56AD"/>
        </w:rPr>
      </w:pPr>
    </w:p>
    <w:p w14:paraId="45D44E94" w14:textId="77777777" w:rsidR="00D57110" w:rsidRPr="00AF425C" w:rsidRDefault="00D57110" w:rsidP="00FF1C80">
      <w:pPr>
        <w:pStyle w:val="AralkYok"/>
        <w:jc w:val="center"/>
        <w:rPr>
          <w:rFonts w:ascii="Times New Roman" w:hAnsi="Times New Roman" w:cs="Times New Roman"/>
          <w:b/>
          <w:bCs/>
          <w:color w:val="2E74B5" w:themeColor="accent1" w:themeShade="BF"/>
          <w:sz w:val="24"/>
          <w:szCs w:val="24"/>
        </w:rPr>
      </w:pPr>
      <w:r w:rsidRPr="00AF425C">
        <w:rPr>
          <w:rFonts w:ascii="Times New Roman" w:hAnsi="Times New Roman" w:cs="Times New Roman"/>
          <w:b/>
          <w:bCs/>
          <w:color w:val="2E74B5" w:themeColor="accent1" w:themeShade="BF"/>
          <w:sz w:val="24"/>
          <w:szCs w:val="24"/>
        </w:rPr>
        <w:t>Saygılarımızla,</w:t>
      </w:r>
    </w:p>
    <w:p w14:paraId="7CD762D9" w14:textId="77777777" w:rsidR="00D57110" w:rsidRPr="00AF425C" w:rsidRDefault="00D57110" w:rsidP="00FF1C80">
      <w:pPr>
        <w:pStyle w:val="AralkYok"/>
        <w:jc w:val="center"/>
        <w:rPr>
          <w:rFonts w:ascii="Times New Roman" w:hAnsi="Times New Roman" w:cs="Times New Roman"/>
          <w:b/>
          <w:bCs/>
          <w:color w:val="2E74B5" w:themeColor="accent1" w:themeShade="BF"/>
          <w:sz w:val="24"/>
          <w:szCs w:val="24"/>
        </w:rPr>
      </w:pPr>
      <w:r w:rsidRPr="00AF425C">
        <w:rPr>
          <w:rFonts w:ascii="Times New Roman" w:hAnsi="Times New Roman" w:cs="Times New Roman"/>
          <w:b/>
          <w:bCs/>
          <w:color w:val="2E74B5" w:themeColor="accent1" w:themeShade="BF"/>
          <w:sz w:val="24"/>
          <w:szCs w:val="24"/>
        </w:rPr>
        <w:t>Sever Hukuk Bürosu</w:t>
      </w:r>
    </w:p>
    <w:p w14:paraId="27DA5410" w14:textId="4FD4DD62" w:rsidR="0095122A" w:rsidRPr="00AF425C" w:rsidRDefault="0095122A" w:rsidP="00FF1C80">
      <w:pPr>
        <w:jc w:val="center"/>
        <w:rPr>
          <w:b/>
          <w:color w:val="1B56AD"/>
        </w:rPr>
      </w:pPr>
    </w:p>
    <w:sectPr w:rsidR="0095122A" w:rsidRPr="00AF425C" w:rsidSect="00C36A54">
      <w:headerReference w:type="default" r:id="rId8"/>
      <w:footerReference w:type="default" r:id="rId9"/>
      <w:pgSz w:w="11906" w:h="16838"/>
      <w:pgMar w:top="1417" w:right="1417" w:bottom="1417" w:left="1417" w:header="426" w:footer="440" w:gutter="0"/>
      <w:pgBorders w:offsetFrom="page">
        <w:top w:val="single" w:sz="4" w:space="24" w:color="0E43AE"/>
        <w:left w:val="single" w:sz="4" w:space="24" w:color="0E43AE"/>
        <w:bottom w:val="single" w:sz="4" w:space="24" w:color="0E43AE"/>
        <w:right w:val="single" w:sz="4" w:space="24" w:color="0E43AE"/>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081BA1" w14:textId="77777777" w:rsidR="00630B6E" w:rsidRDefault="00630B6E" w:rsidP="0095122A">
      <w:r>
        <w:separator/>
      </w:r>
    </w:p>
  </w:endnote>
  <w:endnote w:type="continuationSeparator" w:id="0">
    <w:p w14:paraId="6FAB704A" w14:textId="77777777" w:rsidR="00630B6E" w:rsidRDefault="00630B6E" w:rsidP="009512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Garamond">
    <w:panose1 w:val="02020404030301010803"/>
    <w:charset w:val="A2"/>
    <w:family w:val="roman"/>
    <w:pitch w:val="variable"/>
    <w:sig w:usb0="00000287" w:usb1="00000000" w:usb2="00000000" w:usb3="00000000" w:csb0="0000009F" w:csb1="00000000"/>
  </w:font>
  <w:font w:name="Mukta">
    <w:altName w:val="Cambria"/>
    <w:panose1 w:val="00000000000000000000"/>
    <w:charset w:val="00"/>
    <w:family w:val="roman"/>
    <w:notTrueType/>
    <w:pitch w:val="default"/>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6DBED" w14:textId="0E8A80E7" w:rsidR="0095122A" w:rsidRPr="0095122A" w:rsidRDefault="0095122A" w:rsidP="0095122A">
    <w:pPr>
      <w:pStyle w:val="AltBilgi"/>
      <w:jc w:val="center"/>
      <w:rPr>
        <w:color w:val="082868"/>
      </w:rPr>
    </w:pPr>
    <w:r w:rsidRPr="0095122A">
      <w:rPr>
        <w:color w:val="082868"/>
      </w:rPr>
      <w:t>Gayrettepe Mah. Yıldız Posta Cad. No:8 Akın Sitesi 2. Blok No:39 Beşiktaş/İSTANBUL</w:t>
    </w:r>
  </w:p>
  <w:p w14:paraId="727FD2F7" w14:textId="1F6A4216" w:rsidR="0095122A" w:rsidRPr="0095122A" w:rsidRDefault="0095122A" w:rsidP="0095122A">
    <w:pPr>
      <w:pStyle w:val="AltBilgi"/>
      <w:jc w:val="center"/>
      <w:rPr>
        <w:color w:val="082868"/>
      </w:rPr>
    </w:pPr>
    <w:r w:rsidRPr="0095122A">
      <w:rPr>
        <w:color w:val="082868"/>
      </w:rPr>
      <w:t xml:space="preserve">Tel: 0(212) 275 55 35 Fax: 0(212) 275 50 55 </w:t>
    </w:r>
  </w:p>
  <w:p w14:paraId="4A76115F" w14:textId="3834C2D8" w:rsidR="0095122A" w:rsidRPr="0095122A" w:rsidRDefault="00630B6E" w:rsidP="0095122A">
    <w:pPr>
      <w:pStyle w:val="AltBilgi"/>
      <w:jc w:val="center"/>
      <w:rPr>
        <w:color w:val="082868"/>
      </w:rPr>
    </w:pPr>
    <w:hyperlink r:id="rId1" w:history="1">
      <w:r w:rsidR="0095122A" w:rsidRPr="0095122A">
        <w:rPr>
          <w:rStyle w:val="Kpr"/>
          <w:color w:val="082868"/>
        </w:rPr>
        <w:t>info@sever.av.tr</w:t>
      </w:r>
    </w:hyperlink>
    <w:r w:rsidR="0095122A" w:rsidRPr="0095122A">
      <w:rPr>
        <w:color w:val="082868"/>
      </w:rPr>
      <w:t xml:space="preserve"> </w:t>
    </w:r>
    <w:hyperlink r:id="rId2" w:history="1">
      <w:r w:rsidR="0095122A" w:rsidRPr="0095122A">
        <w:rPr>
          <w:rStyle w:val="Kpr"/>
          <w:color w:val="082868"/>
        </w:rPr>
        <w:t>www.sever.av.tr</w:t>
      </w:r>
    </w:hyperlink>
    <w:r w:rsidR="0095122A" w:rsidRPr="0095122A">
      <w:rPr>
        <w:color w:val="08286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DD1296" w14:textId="77777777" w:rsidR="00630B6E" w:rsidRDefault="00630B6E" w:rsidP="0095122A">
      <w:r>
        <w:separator/>
      </w:r>
    </w:p>
  </w:footnote>
  <w:footnote w:type="continuationSeparator" w:id="0">
    <w:p w14:paraId="0F83C8BB" w14:textId="77777777" w:rsidR="00630B6E" w:rsidRDefault="00630B6E" w:rsidP="0095122A">
      <w:r>
        <w:continuationSeparator/>
      </w:r>
    </w:p>
  </w:footnote>
  <w:footnote w:id="1">
    <w:p w14:paraId="45B48B53" w14:textId="60FF9ADA" w:rsidR="00E54DAD" w:rsidRDefault="00E54DAD" w:rsidP="00E54DAD">
      <w:pPr>
        <w:pStyle w:val="DipnotMetni"/>
      </w:pPr>
      <w:r>
        <w:rPr>
          <w:rStyle w:val="DipnotBavurusu"/>
        </w:rPr>
        <w:footnoteRef/>
      </w:r>
      <w:r>
        <w:t xml:space="preserve"> Hukuki yönüyle baktığımızda, “dağınık” bir sicil (decentralised ledger) niteliği taşıyan blok zincir üzerindeki işlemler, çok nüshalı hazırlanmış çok taraflı sözleşmelere benzemektedir. Herkesin elinde bir asıl nüsha bulunması kaydın veya scilin sonradan değiştirilebilmesini engellemektedir. Btcoin işlemleri de her bir işlem sonrasında şifrelenerek tüm Bitcoin kullanıcılarının elindeki veri tabanını sürekli güncellenmektedir.  Yaklaşık her onbeş dakikada yeni bir blok açılarak bir önceki blok geri döndürülemez şekilde kilitle</w:t>
      </w:r>
      <w:r w:rsidR="00E52DAC">
        <w:t>n</w:t>
      </w:r>
      <w:r>
        <w:t xml:space="preserve">mektedir. </w:t>
      </w:r>
    </w:p>
  </w:footnote>
  <w:footnote w:id="2">
    <w:p w14:paraId="47BC5A3B" w14:textId="63EF023B" w:rsidR="006075E3" w:rsidRDefault="006075E3">
      <w:pPr>
        <w:pStyle w:val="DipnotMetni"/>
      </w:pPr>
      <w:r>
        <w:rPr>
          <w:rStyle w:val="DipnotBavurusu"/>
        </w:rPr>
        <w:footnoteRef/>
      </w:r>
      <w:r>
        <w:t xml:space="preserve"> Desantralize sicil </w:t>
      </w:r>
    </w:p>
  </w:footnote>
  <w:footnote w:id="3">
    <w:p w14:paraId="7020B556" w14:textId="7B98A952" w:rsidR="006154DF" w:rsidRPr="006154DF" w:rsidRDefault="00371E01" w:rsidP="00FF1C80">
      <w:pPr>
        <w:pStyle w:val="DipnotMetni"/>
        <w:jc w:val="both"/>
      </w:pPr>
      <w:r>
        <w:rPr>
          <w:rStyle w:val="DipnotBavurusu"/>
        </w:rPr>
        <w:footnoteRef/>
      </w:r>
      <w:r>
        <w:t xml:space="preserve"> </w:t>
      </w:r>
      <w:r w:rsidR="006154DF">
        <w:t xml:space="preserve">Bak. </w:t>
      </w:r>
      <w:r w:rsidR="006154DF" w:rsidRPr="006154DF">
        <w:t>2013 yılında yürürlüğe giren 6493 sayılı “Ödeme ve Menkul Kıymet Mutabakat Sistemleri, Ödeme Hizmetleri ve Elektronik Para Kuruluşları Hakkında Kanun” </w:t>
      </w:r>
    </w:p>
    <w:p w14:paraId="6B16885B" w14:textId="31D987F9" w:rsidR="00371E01" w:rsidRPr="009B0545" w:rsidRDefault="00371E01">
      <w:pPr>
        <w:pStyle w:val="DipnotMetni"/>
      </w:pPr>
    </w:p>
  </w:footnote>
  <w:footnote w:id="4">
    <w:p w14:paraId="72799367" w14:textId="363575EE" w:rsidR="001F15CC" w:rsidRPr="001F15CC" w:rsidRDefault="001F15CC" w:rsidP="00FF1C80">
      <w:pPr>
        <w:pStyle w:val="DipnotMetni"/>
        <w:jc w:val="both"/>
      </w:pPr>
      <w:r>
        <w:rPr>
          <w:rStyle w:val="DipnotBavurusu"/>
        </w:rPr>
        <w:footnoteRef/>
      </w:r>
      <w:r>
        <w:t xml:space="preserve"> </w:t>
      </w:r>
      <w:r w:rsidRPr="001F15CC">
        <w:t>Cumhurbaşkanı Başdanışmanı Ertem: Kripto para düzenlemeleri yolda</w:t>
      </w:r>
      <w:r>
        <w:t xml:space="preserve">. </w:t>
      </w:r>
      <w:hyperlink r:id="rId1" w:history="1">
        <w:r w:rsidRPr="00C26F5A">
          <w:rPr>
            <w:rStyle w:val="Kpr"/>
          </w:rPr>
          <w:t>https://politikahaber.org/cumhurbaskani-basdanismani-ertem-kripto-para-duzenlemeleri-yolda/</w:t>
        </w:r>
      </w:hyperlink>
      <w:r>
        <w:t xml:space="preserve"> , </w:t>
      </w:r>
      <w:hyperlink r:id="rId2" w:history="1">
        <w:r w:rsidRPr="00C26F5A">
          <w:rPr>
            <w:rStyle w:val="Kpr"/>
          </w:rPr>
          <w:t>https://www.hurriyet.com.tr/amp/ekonomi/son-dakika-kripto-paralara-duzenleme-geliyor-cumhurbaskani-basdanismani-ertem-cnn-turkte-duyurdu-41795412</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4548B" w14:textId="798DB1C0" w:rsidR="0095122A" w:rsidRDefault="0095122A" w:rsidP="0095122A">
    <w:pPr>
      <w:pStyle w:val="stBilgi"/>
      <w:ind w:left="-709"/>
    </w:pPr>
    <w:r>
      <w:rPr>
        <w:noProof/>
        <w:lang w:eastAsia="tr-TR"/>
      </w:rPr>
      <w:drawing>
        <wp:inline distT="0" distB="0" distL="0" distR="0" wp14:anchorId="4BE919F0" wp14:editId="60474785">
          <wp:extent cx="2742614" cy="412750"/>
          <wp:effectExtent l="0" t="0" r="635" b="6350"/>
          <wp:docPr id="23" name="Resim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1">
                    <a:extLst>
                      <a:ext uri="{28A0092B-C50C-407E-A947-70E740481C1C}">
                        <a14:useLocalDpi xmlns:a14="http://schemas.microsoft.com/office/drawing/2010/main" val="0"/>
                      </a:ext>
                    </a:extLst>
                  </a:blip>
                  <a:stretch>
                    <a:fillRect/>
                  </a:stretch>
                </pic:blipFill>
                <pic:spPr>
                  <a:xfrm>
                    <a:off x="0" y="0"/>
                    <a:ext cx="3019035" cy="4543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71E2A"/>
    <w:multiLevelType w:val="multilevel"/>
    <w:tmpl w:val="F64A23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F13A4B"/>
    <w:multiLevelType w:val="multilevel"/>
    <w:tmpl w:val="128ABB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285535"/>
    <w:multiLevelType w:val="hybridMultilevel"/>
    <w:tmpl w:val="4F8E8F1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2B66730"/>
    <w:multiLevelType w:val="multilevel"/>
    <w:tmpl w:val="E592A4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41502F8"/>
    <w:multiLevelType w:val="hybridMultilevel"/>
    <w:tmpl w:val="00A881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31B230F3"/>
    <w:multiLevelType w:val="hybridMultilevel"/>
    <w:tmpl w:val="ADC4D0FE"/>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3487F02"/>
    <w:multiLevelType w:val="hybridMultilevel"/>
    <w:tmpl w:val="998297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433A4D97"/>
    <w:multiLevelType w:val="hybridMultilevel"/>
    <w:tmpl w:val="9C64446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44B92E1B"/>
    <w:multiLevelType w:val="hybridMultilevel"/>
    <w:tmpl w:val="CDD2A6BA"/>
    <w:lvl w:ilvl="0" w:tplc="AC1AE32A">
      <w:start w:val="1"/>
      <w:numFmt w:val="upperRoman"/>
      <w:lvlText w:val="%1."/>
      <w:lvlJc w:val="left"/>
      <w:pPr>
        <w:ind w:left="1080" w:hanging="720"/>
      </w:pPr>
      <w:rPr>
        <w:rFonts w:hint="default"/>
        <w:b/>
        <w:color w:val="FFFFFF" w:themeColor="background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4D655683"/>
    <w:multiLevelType w:val="hybridMultilevel"/>
    <w:tmpl w:val="4014C4C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5CA60BB8"/>
    <w:multiLevelType w:val="hybridMultilevel"/>
    <w:tmpl w:val="7CA2EB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7238222E"/>
    <w:multiLevelType w:val="hybridMultilevel"/>
    <w:tmpl w:val="113217E4"/>
    <w:lvl w:ilvl="0" w:tplc="041F0013">
      <w:start w:val="1"/>
      <w:numFmt w:val="upp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778631B3"/>
    <w:multiLevelType w:val="hybridMultilevel"/>
    <w:tmpl w:val="B76647D6"/>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78DF60DF"/>
    <w:multiLevelType w:val="hybridMultilevel"/>
    <w:tmpl w:val="4EFA271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7"/>
  </w:num>
  <w:num w:numId="4">
    <w:abstractNumId w:val="13"/>
  </w:num>
  <w:num w:numId="5">
    <w:abstractNumId w:val="4"/>
  </w:num>
  <w:num w:numId="6">
    <w:abstractNumId w:val="9"/>
  </w:num>
  <w:num w:numId="7">
    <w:abstractNumId w:val="10"/>
  </w:num>
  <w:num w:numId="8">
    <w:abstractNumId w:val="5"/>
  </w:num>
  <w:num w:numId="9">
    <w:abstractNumId w:val="6"/>
  </w:num>
  <w:num w:numId="10">
    <w:abstractNumId w:val="12"/>
  </w:num>
  <w:num w:numId="11">
    <w:abstractNumId w:val="11"/>
  </w:num>
  <w:num w:numId="12">
    <w:abstractNumId w:val="0"/>
  </w:num>
  <w:num w:numId="13">
    <w:abstractNumId w:val="3"/>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5D6D"/>
    <w:rsid w:val="000030B3"/>
    <w:rsid w:val="00040A40"/>
    <w:rsid w:val="00083D8C"/>
    <w:rsid w:val="000A21A8"/>
    <w:rsid w:val="000A2F2D"/>
    <w:rsid w:val="000A317C"/>
    <w:rsid w:val="000B4C33"/>
    <w:rsid w:val="000C2EF0"/>
    <w:rsid w:val="000C5555"/>
    <w:rsid w:val="000D07B8"/>
    <w:rsid w:val="000D2775"/>
    <w:rsid w:val="000F01F4"/>
    <w:rsid w:val="000F7031"/>
    <w:rsid w:val="00130624"/>
    <w:rsid w:val="001419EA"/>
    <w:rsid w:val="00165A75"/>
    <w:rsid w:val="00170AC4"/>
    <w:rsid w:val="001A5490"/>
    <w:rsid w:val="001A7BAE"/>
    <w:rsid w:val="001B6533"/>
    <w:rsid w:val="001C3757"/>
    <w:rsid w:val="001D2204"/>
    <w:rsid w:val="001D38CF"/>
    <w:rsid w:val="001D4497"/>
    <w:rsid w:val="001E1AD6"/>
    <w:rsid w:val="001F15CC"/>
    <w:rsid w:val="0020721B"/>
    <w:rsid w:val="00215817"/>
    <w:rsid w:val="00220B2A"/>
    <w:rsid w:val="00226F95"/>
    <w:rsid w:val="00226FFF"/>
    <w:rsid w:val="00255C9F"/>
    <w:rsid w:val="00290CAC"/>
    <w:rsid w:val="00297CF3"/>
    <w:rsid w:val="002B3189"/>
    <w:rsid w:val="002B555A"/>
    <w:rsid w:val="002C5EAA"/>
    <w:rsid w:val="002E2378"/>
    <w:rsid w:val="0030674F"/>
    <w:rsid w:val="0031477D"/>
    <w:rsid w:val="00345C63"/>
    <w:rsid w:val="00346727"/>
    <w:rsid w:val="00352E65"/>
    <w:rsid w:val="003542D6"/>
    <w:rsid w:val="00362106"/>
    <w:rsid w:val="00371E01"/>
    <w:rsid w:val="003754ED"/>
    <w:rsid w:val="00380CC3"/>
    <w:rsid w:val="00380F39"/>
    <w:rsid w:val="003A0C76"/>
    <w:rsid w:val="003A4D34"/>
    <w:rsid w:val="003B06FC"/>
    <w:rsid w:val="003E139A"/>
    <w:rsid w:val="00403F7B"/>
    <w:rsid w:val="00415D9C"/>
    <w:rsid w:val="00473DC8"/>
    <w:rsid w:val="004A0623"/>
    <w:rsid w:val="004B0EFF"/>
    <w:rsid w:val="004C2C0E"/>
    <w:rsid w:val="004C5078"/>
    <w:rsid w:val="004D0E91"/>
    <w:rsid w:val="004D16E0"/>
    <w:rsid w:val="004D54B4"/>
    <w:rsid w:val="004D6537"/>
    <w:rsid w:val="005359E8"/>
    <w:rsid w:val="00544B34"/>
    <w:rsid w:val="00571930"/>
    <w:rsid w:val="005740C2"/>
    <w:rsid w:val="005852C8"/>
    <w:rsid w:val="00591D48"/>
    <w:rsid w:val="005A298A"/>
    <w:rsid w:val="005A3C18"/>
    <w:rsid w:val="005A51A7"/>
    <w:rsid w:val="005A6222"/>
    <w:rsid w:val="005C1D12"/>
    <w:rsid w:val="005C271D"/>
    <w:rsid w:val="005C33E4"/>
    <w:rsid w:val="005C5F1C"/>
    <w:rsid w:val="005E4462"/>
    <w:rsid w:val="006075E3"/>
    <w:rsid w:val="006154DF"/>
    <w:rsid w:val="0061731C"/>
    <w:rsid w:val="006208F7"/>
    <w:rsid w:val="006269F5"/>
    <w:rsid w:val="00630B6E"/>
    <w:rsid w:val="0065006D"/>
    <w:rsid w:val="00662E6F"/>
    <w:rsid w:val="00671203"/>
    <w:rsid w:val="00693218"/>
    <w:rsid w:val="006936A3"/>
    <w:rsid w:val="00696E68"/>
    <w:rsid w:val="006D64EF"/>
    <w:rsid w:val="006F7296"/>
    <w:rsid w:val="0070170A"/>
    <w:rsid w:val="007073E4"/>
    <w:rsid w:val="00716CD0"/>
    <w:rsid w:val="00717CFC"/>
    <w:rsid w:val="00720B67"/>
    <w:rsid w:val="00721F38"/>
    <w:rsid w:val="00725816"/>
    <w:rsid w:val="007329D8"/>
    <w:rsid w:val="007577F3"/>
    <w:rsid w:val="00764A8D"/>
    <w:rsid w:val="007900A9"/>
    <w:rsid w:val="007C110F"/>
    <w:rsid w:val="007C423D"/>
    <w:rsid w:val="007D694A"/>
    <w:rsid w:val="007E274B"/>
    <w:rsid w:val="007E7AE8"/>
    <w:rsid w:val="007F305B"/>
    <w:rsid w:val="00806C6F"/>
    <w:rsid w:val="00816C98"/>
    <w:rsid w:val="00824005"/>
    <w:rsid w:val="00837D3D"/>
    <w:rsid w:val="008466C7"/>
    <w:rsid w:val="008653FF"/>
    <w:rsid w:val="0088146B"/>
    <w:rsid w:val="008834AB"/>
    <w:rsid w:val="00894D2D"/>
    <w:rsid w:val="00895D46"/>
    <w:rsid w:val="008B42FE"/>
    <w:rsid w:val="008D3809"/>
    <w:rsid w:val="008D3CB2"/>
    <w:rsid w:val="008E3C09"/>
    <w:rsid w:val="00915F53"/>
    <w:rsid w:val="009237A6"/>
    <w:rsid w:val="00930B58"/>
    <w:rsid w:val="00935C5F"/>
    <w:rsid w:val="009412BB"/>
    <w:rsid w:val="0095122A"/>
    <w:rsid w:val="0097014C"/>
    <w:rsid w:val="00983F12"/>
    <w:rsid w:val="00990155"/>
    <w:rsid w:val="00992323"/>
    <w:rsid w:val="00995988"/>
    <w:rsid w:val="00997B5F"/>
    <w:rsid w:val="009B0545"/>
    <w:rsid w:val="009D7676"/>
    <w:rsid w:val="009D7D42"/>
    <w:rsid w:val="009E0F9D"/>
    <w:rsid w:val="009F2760"/>
    <w:rsid w:val="00A07606"/>
    <w:rsid w:val="00A2597D"/>
    <w:rsid w:val="00A31EEB"/>
    <w:rsid w:val="00A430D8"/>
    <w:rsid w:val="00A52E05"/>
    <w:rsid w:val="00A65649"/>
    <w:rsid w:val="00A7166A"/>
    <w:rsid w:val="00A8748B"/>
    <w:rsid w:val="00A91B26"/>
    <w:rsid w:val="00A97B52"/>
    <w:rsid w:val="00AA6718"/>
    <w:rsid w:val="00AB5186"/>
    <w:rsid w:val="00AE58C5"/>
    <w:rsid w:val="00AF3F03"/>
    <w:rsid w:val="00AF425C"/>
    <w:rsid w:val="00AF6479"/>
    <w:rsid w:val="00AF6CC4"/>
    <w:rsid w:val="00B04305"/>
    <w:rsid w:val="00B050F9"/>
    <w:rsid w:val="00B0725F"/>
    <w:rsid w:val="00B141D9"/>
    <w:rsid w:val="00B21493"/>
    <w:rsid w:val="00B355DC"/>
    <w:rsid w:val="00B36C5C"/>
    <w:rsid w:val="00B52ABC"/>
    <w:rsid w:val="00B60E65"/>
    <w:rsid w:val="00B77213"/>
    <w:rsid w:val="00B83A0E"/>
    <w:rsid w:val="00B904DD"/>
    <w:rsid w:val="00BA0C4C"/>
    <w:rsid w:val="00BA3349"/>
    <w:rsid w:val="00BB43A2"/>
    <w:rsid w:val="00BB455C"/>
    <w:rsid w:val="00BD665F"/>
    <w:rsid w:val="00BF5183"/>
    <w:rsid w:val="00C022DD"/>
    <w:rsid w:val="00C120E4"/>
    <w:rsid w:val="00C25779"/>
    <w:rsid w:val="00C34D7C"/>
    <w:rsid w:val="00C36A54"/>
    <w:rsid w:val="00C70A2E"/>
    <w:rsid w:val="00C97FA1"/>
    <w:rsid w:val="00CB575B"/>
    <w:rsid w:val="00CC046B"/>
    <w:rsid w:val="00CC0629"/>
    <w:rsid w:val="00CC5344"/>
    <w:rsid w:val="00CE0DB5"/>
    <w:rsid w:val="00CE1E30"/>
    <w:rsid w:val="00CF5808"/>
    <w:rsid w:val="00D13FB4"/>
    <w:rsid w:val="00D17166"/>
    <w:rsid w:val="00D23A0E"/>
    <w:rsid w:val="00D2770E"/>
    <w:rsid w:val="00D32580"/>
    <w:rsid w:val="00D40695"/>
    <w:rsid w:val="00D55B8E"/>
    <w:rsid w:val="00D57110"/>
    <w:rsid w:val="00D626C3"/>
    <w:rsid w:val="00D86708"/>
    <w:rsid w:val="00D9246D"/>
    <w:rsid w:val="00D92C80"/>
    <w:rsid w:val="00DA6C1C"/>
    <w:rsid w:val="00DB1855"/>
    <w:rsid w:val="00DB2807"/>
    <w:rsid w:val="00DE64C8"/>
    <w:rsid w:val="00DF62FC"/>
    <w:rsid w:val="00DF6C73"/>
    <w:rsid w:val="00E073DE"/>
    <w:rsid w:val="00E17960"/>
    <w:rsid w:val="00E22228"/>
    <w:rsid w:val="00E248D7"/>
    <w:rsid w:val="00E31268"/>
    <w:rsid w:val="00E32606"/>
    <w:rsid w:val="00E52DAC"/>
    <w:rsid w:val="00E537DA"/>
    <w:rsid w:val="00E54DAD"/>
    <w:rsid w:val="00E71105"/>
    <w:rsid w:val="00E80817"/>
    <w:rsid w:val="00E86D77"/>
    <w:rsid w:val="00E93320"/>
    <w:rsid w:val="00E94226"/>
    <w:rsid w:val="00EE6C92"/>
    <w:rsid w:val="00F07D69"/>
    <w:rsid w:val="00F443DE"/>
    <w:rsid w:val="00F614A7"/>
    <w:rsid w:val="00F62C3D"/>
    <w:rsid w:val="00F87FD0"/>
    <w:rsid w:val="00FA7F1C"/>
    <w:rsid w:val="00FC34BA"/>
    <w:rsid w:val="00FC46EE"/>
    <w:rsid w:val="00FC6B86"/>
    <w:rsid w:val="00FD5D6D"/>
    <w:rsid w:val="00FE6833"/>
    <w:rsid w:val="00FF1C80"/>
    <w:rsid w:val="00FF3E16"/>
    <w:rsid w:val="00FF755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1C07EF"/>
  <w15:chartTrackingRefBased/>
  <w15:docId w15:val="{16B73602-0AB4-4B28-8D3E-476338B83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110F"/>
    <w:pPr>
      <w:spacing w:after="0" w:line="240" w:lineRule="auto"/>
    </w:pPr>
    <w:rPr>
      <w:rFonts w:ascii="Times New Roman" w:eastAsia="Times New Roman" w:hAnsi="Times New Roman" w:cs="Times New Roman"/>
      <w:sz w:val="24"/>
      <w:szCs w:val="24"/>
      <w:lang w:eastAsia="en-GB"/>
    </w:rPr>
  </w:style>
  <w:style w:type="paragraph" w:styleId="Balk1">
    <w:name w:val="heading 1"/>
    <w:basedOn w:val="Normal"/>
    <w:next w:val="Normal"/>
    <w:link w:val="Balk1Char"/>
    <w:uiPriority w:val="9"/>
    <w:qFormat/>
    <w:rsid w:val="00D626C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next w:val="Normal"/>
    <w:link w:val="Balk2Char"/>
    <w:uiPriority w:val="9"/>
    <w:unhideWhenUsed/>
    <w:qFormat/>
    <w:rsid w:val="00D626C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Balk3">
    <w:name w:val="heading 3"/>
    <w:basedOn w:val="Normal"/>
    <w:next w:val="Normal"/>
    <w:link w:val="Balk3Char"/>
    <w:uiPriority w:val="9"/>
    <w:unhideWhenUsed/>
    <w:qFormat/>
    <w:rsid w:val="008D3CB2"/>
    <w:pPr>
      <w:keepNext/>
      <w:keepLines/>
      <w:spacing w:before="40"/>
      <w:outlineLvl w:val="2"/>
    </w:pPr>
    <w:rPr>
      <w:rFonts w:asciiTheme="majorHAnsi" w:eastAsiaTheme="majorEastAsia" w:hAnsiTheme="majorHAnsi" w:cstheme="majorBidi"/>
      <w:color w:val="1F4D78"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95122A"/>
    <w:pPr>
      <w:tabs>
        <w:tab w:val="center" w:pos="4536"/>
        <w:tab w:val="right" w:pos="9072"/>
      </w:tabs>
    </w:pPr>
  </w:style>
  <w:style w:type="character" w:customStyle="1" w:styleId="stBilgiChar">
    <w:name w:val="Üst Bilgi Char"/>
    <w:basedOn w:val="VarsaylanParagrafYazTipi"/>
    <w:link w:val="stBilgi"/>
    <w:uiPriority w:val="99"/>
    <w:rsid w:val="0095122A"/>
  </w:style>
  <w:style w:type="paragraph" w:styleId="AltBilgi">
    <w:name w:val="footer"/>
    <w:basedOn w:val="Normal"/>
    <w:link w:val="AltBilgiChar"/>
    <w:uiPriority w:val="99"/>
    <w:unhideWhenUsed/>
    <w:rsid w:val="0095122A"/>
    <w:pPr>
      <w:tabs>
        <w:tab w:val="center" w:pos="4536"/>
        <w:tab w:val="right" w:pos="9072"/>
      </w:tabs>
    </w:pPr>
  </w:style>
  <w:style w:type="character" w:customStyle="1" w:styleId="AltBilgiChar">
    <w:name w:val="Alt Bilgi Char"/>
    <w:basedOn w:val="VarsaylanParagrafYazTipi"/>
    <w:link w:val="AltBilgi"/>
    <w:uiPriority w:val="99"/>
    <w:rsid w:val="0095122A"/>
  </w:style>
  <w:style w:type="character" w:styleId="Kpr">
    <w:name w:val="Hyperlink"/>
    <w:basedOn w:val="VarsaylanParagrafYazTipi"/>
    <w:uiPriority w:val="99"/>
    <w:unhideWhenUsed/>
    <w:rsid w:val="0095122A"/>
    <w:rPr>
      <w:color w:val="0563C1" w:themeColor="hyperlink"/>
      <w:u w:val="single"/>
    </w:rPr>
  </w:style>
  <w:style w:type="character" w:customStyle="1" w:styleId="zmlenmeyenBahsetme1">
    <w:name w:val="Çözümlenmeyen Bahsetme1"/>
    <w:basedOn w:val="VarsaylanParagrafYazTipi"/>
    <w:uiPriority w:val="99"/>
    <w:semiHidden/>
    <w:unhideWhenUsed/>
    <w:rsid w:val="0095122A"/>
    <w:rPr>
      <w:color w:val="605E5C"/>
      <w:shd w:val="clear" w:color="auto" w:fill="E1DFDD"/>
    </w:rPr>
  </w:style>
  <w:style w:type="table" w:styleId="TabloKlavuzu">
    <w:name w:val="Table Grid"/>
    <w:basedOn w:val="NormalTablo"/>
    <w:uiPriority w:val="39"/>
    <w:rsid w:val="001306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klamaBavurusu">
    <w:name w:val="annotation reference"/>
    <w:basedOn w:val="VarsaylanParagrafYazTipi"/>
    <w:uiPriority w:val="99"/>
    <w:semiHidden/>
    <w:unhideWhenUsed/>
    <w:rsid w:val="00130624"/>
    <w:rPr>
      <w:sz w:val="16"/>
      <w:szCs w:val="16"/>
    </w:rPr>
  </w:style>
  <w:style w:type="paragraph" w:styleId="AklamaMetni">
    <w:name w:val="annotation text"/>
    <w:basedOn w:val="Normal"/>
    <w:link w:val="AklamaMetniChar"/>
    <w:uiPriority w:val="99"/>
    <w:semiHidden/>
    <w:unhideWhenUsed/>
    <w:rsid w:val="00130624"/>
    <w:rPr>
      <w:sz w:val="20"/>
      <w:szCs w:val="20"/>
    </w:rPr>
  </w:style>
  <w:style w:type="character" w:customStyle="1" w:styleId="AklamaMetniChar">
    <w:name w:val="Açıklama Metni Char"/>
    <w:basedOn w:val="VarsaylanParagrafYazTipi"/>
    <w:link w:val="AklamaMetni"/>
    <w:uiPriority w:val="99"/>
    <w:semiHidden/>
    <w:rsid w:val="00130624"/>
    <w:rPr>
      <w:sz w:val="20"/>
      <w:szCs w:val="20"/>
    </w:rPr>
  </w:style>
  <w:style w:type="paragraph" w:styleId="ListeParagraf">
    <w:name w:val="List Paragraph"/>
    <w:basedOn w:val="Normal"/>
    <w:uiPriority w:val="34"/>
    <w:qFormat/>
    <w:rsid w:val="00AF6CC4"/>
    <w:pPr>
      <w:ind w:left="720"/>
      <w:contextualSpacing/>
    </w:pPr>
    <w:rPr>
      <w:rFonts w:ascii="Garamond" w:hAnsi="Garamond"/>
    </w:rPr>
  </w:style>
  <w:style w:type="character" w:customStyle="1" w:styleId="Balk1Char">
    <w:name w:val="Başlık 1 Char"/>
    <w:basedOn w:val="VarsaylanParagrafYazTipi"/>
    <w:link w:val="Balk1"/>
    <w:uiPriority w:val="9"/>
    <w:rsid w:val="00D626C3"/>
    <w:rPr>
      <w:rFonts w:asciiTheme="majorHAnsi" w:eastAsiaTheme="majorEastAsia" w:hAnsiTheme="majorHAnsi" w:cstheme="majorBidi"/>
      <w:color w:val="2E74B5" w:themeColor="accent1" w:themeShade="BF"/>
      <w:sz w:val="32"/>
      <w:szCs w:val="32"/>
    </w:rPr>
  </w:style>
  <w:style w:type="character" w:customStyle="1" w:styleId="Balk2Char">
    <w:name w:val="Başlık 2 Char"/>
    <w:basedOn w:val="VarsaylanParagrafYazTipi"/>
    <w:link w:val="Balk2"/>
    <w:uiPriority w:val="9"/>
    <w:rsid w:val="00D626C3"/>
    <w:rPr>
      <w:rFonts w:asciiTheme="majorHAnsi" w:eastAsiaTheme="majorEastAsia" w:hAnsiTheme="majorHAnsi" w:cstheme="majorBidi"/>
      <w:color w:val="2E74B5" w:themeColor="accent1" w:themeShade="BF"/>
      <w:sz w:val="26"/>
      <w:szCs w:val="26"/>
    </w:rPr>
  </w:style>
  <w:style w:type="character" w:customStyle="1" w:styleId="Balk3Char">
    <w:name w:val="Başlık 3 Char"/>
    <w:basedOn w:val="VarsaylanParagrafYazTipi"/>
    <w:link w:val="Balk3"/>
    <w:uiPriority w:val="9"/>
    <w:rsid w:val="008D3CB2"/>
    <w:rPr>
      <w:rFonts w:asciiTheme="majorHAnsi" w:eastAsiaTheme="majorEastAsia" w:hAnsiTheme="majorHAnsi" w:cstheme="majorBidi"/>
      <w:color w:val="1F4D78" w:themeColor="accent1" w:themeShade="7F"/>
      <w:sz w:val="24"/>
      <w:szCs w:val="24"/>
    </w:rPr>
  </w:style>
  <w:style w:type="paragraph" w:styleId="AralkYok">
    <w:name w:val="No Spacing"/>
    <w:uiPriority w:val="1"/>
    <w:qFormat/>
    <w:rsid w:val="00D17166"/>
    <w:pPr>
      <w:spacing w:after="0" w:line="240" w:lineRule="auto"/>
    </w:pPr>
  </w:style>
  <w:style w:type="paragraph" w:styleId="NormalWeb">
    <w:name w:val="Normal (Web)"/>
    <w:basedOn w:val="Normal"/>
    <w:uiPriority w:val="99"/>
    <w:unhideWhenUsed/>
    <w:rsid w:val="00CC5344"/>
    <w:pPr>
      <w:spacing w:before="100" w:beforeAutospacing="1" w:after="100" w:afterAutospacing="1"/>
    </w:pPr>
    <w:rPr>
      <w:lang w:eastAsia="tr-TR"/>
    </w:rPr>
  </w:style>
  <w:style w:type="paragraph" w:styleId="DipnotMetni">
    <w:name w:val="footnote text"/>
    <w:basedOn w:val="Normal"/>
    <w:link w:val="DipnotMetniChar"/>
    <w:uiPriority w:val="99"/>
    <w:semiHidden/>
    <w:unhideWhenUsed/>
    <w:rsid w:val="006075E3"/>
    <w:rPr>
      <w:sz w:val="20"/>
      <w:szCs w:val="20"/>
    </w:rPr>
  </w:style>
  <w:style w:type="character" w:customStyle="1" w:styleId="DipnotMetniChar">
    <w:name w:val="Dipnot Metni Char"/>
    <w:basedOn w:val="VarsaylanParagrafYazTipi"/>
    <w:link w:val="DipnotMetni"/>
    <w:uiPriority w:val="99"/>
    <w:semiHidden/>
    <w:rsid w:val="006075E3"/>
    <w:rPr>
      <w:sz w:val="20"/>
      <w:szCs w:val="20"/>
    </w:rPr>
  </w:style>
  <w:style w:type="character" w:styleId="DipnotBavurusu">
    <w:name w:val="footnote reference"/>
    <w:basedOn w:val="VarsaylanParagrafYazTipi"/>
    <w:uiPriority w:val="99"/>
    <w:semiHidden/>
    <w:unhideWhenUsed/>
    <w:rsid w:val="006075E3"/>
    <w:rPr>
      <w:vertAlign w:val="superscript"/>
    </w:rPr>
  </w:style>
  <w:style w:type="character" w:styleId="zmlenmeyenBahsetme">
    <w:name w:val="Unresolved Mention"/>
    <w:basedOn w:val="VarsaylanParagrafYazTipi"/>
    <w:uiPriority w:val="99"/>
    <w:semiHidden/>
    <w:unhideWhenUsed/>
    <w:rsid w:val="001F15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095741">
      <w:bodyDiv w:val="1"/>
      <w:marLeft w:val="0"/>
      <w:marRight w:val="0"/>
      <w:marTop w:val="0"/>
      <w:marBottom w:val="0"/>
      <w:divBdr>
        <w:top w:val="none" w:sz="0" w:space="0" w:color="auto"/>
        <w:left w:val="none" w:sz="0" w:space="0" w:color="auto"/>
        <w:bottom w:val="none" w:sz="0" w:space="0" w:color="auto"/>
        <w:right w:val="none" w:sz="0" w:space="0" w:color="auto"/>
      </w:divBdr>
    </w:div>
    <w:div w:id="279604355">
      <w:bodyDiv w:val="1"/>
      <w:marLeft w:val="0"/>
      <w:marRight w:val="0"/>
      <w:marTop w:val="0"/>
      <w:marBottom w:val="0"/>
      <w:divBdr>
        <w:top w:val="none" w:sz="0" w:space="0" w:color="auto"/>
        <w:left w:val="none" w:sz="0" w:space="0" w:color="auto"/>
        <w:bottom w:val="none" w:sz="0" w:space="0" w:color="auto"/>
        <w:right w:val="none" w:sz="0" w:space="0" w:color="auto"/>
      </w:divBdr>
    </w:div>
    <w:div w:id="315762041">
      <w:bodyDiv w:val="1"/>
      <w:marLeft w:val="0"/>
      <w:marRight w:val="0"/>
      <w:marTop w:val="0"/>
      <w:marBottom w:val="0"/>
      <w:divBdr>
        <w:top w:val="none" w:sz="0" w:space="0" w:color="auto"/>
        <w:left w:val="none" w:sz="0" w:space="0" w:color="auto"/>
        <w:bottom w:val="none" w:sz="0" w:space="0" w:color="auto"/>
        <w:right w:val="none" w:sz="0" w:space="0" w:color="auto"/>
      </w:divBdr>
    </w:div>
    <w:div w:id="614601618">
      <w:bodyDiv w:val="1"/>
      <w:marLeft w:val="0"/>
      <w:marRight w:val="0"/>
      <w:marTop w:val="0"/>
      <w:marBottom w:val="0"/>
      <w:divBdr>
        <w:top w:val="none" w:sz="0" w:space="0" w:color="auto"/>
        <w:left w:val="none" w:sz="0" w:space="0" w:color="auto"/>
        <w:bottom w:val="none" w:sz="0" w:space="0" w:color="auto"/>
        <w:right w:val="none" w:sz="0" w:space="0" w:color="auto"/>
      </w:divBdr>
    </w:div>
    <w:div w:id="754013933">
      <w:bodyDiv w:val="1"/>
      <w:marLeft w:val="0"/>
      <w:marRight w:val="0"/>
      <w:marTop w:val="0"/>
      <w:marBottom w:val="0"/>
      <w:divBdr>
        <w:top w:val="none" w:sz="0" w:space="0" w:color="auto"/>
        <w:left w:val="none" w:sz="0" w:space="0" w:color="auto"/>
        <w:bottom w:val="none" w:sz="0" w:space="0" w:color="auto"/>
        <w:right w:val="none" w:sz="0" w:space="0" w:color="auto"/>
      </w:divBdr>
    </w:div>
    <w:div w:id="1142425466">
      <w:bodyDiv w:val="1"/>
      <w:marLeft w:val="0"/>
      <w:marRight w:val="0"/>
      <w:marTop w:val="0"/>
      <w:marBottom w:val="0"/>
      <w:divBdr>
        <w:top w:val="none" w:sz="0" w:space="0" w:color="auto"/>
        <w:left w:val="none" w:sz="0" w:space="0" w:color="auto"/>
        <w:bottom w:val="none" w:sz="0" w:space="0" w:color="auto"/>
        <w:right w:val="none" w:sz="0" w:space="0" w:color="auto"/>
      </w:divBdr>
    </w:div>
    <w:div w:id="1171027836">
      <w:bodyDiv w:val="1"/>
      <w:marLeft w:val="0"/>
      <w:marRight w:val="0"/>
      <w:marTop w:val="0"/>
      <w:marBottom w:val="0"/>
      <w:divBdr>
        <w:top w:val="none" w:sz="0" w:space="0" w:color="auto"/>
        <w:left w:val="none" w:sz="0" w:space="0" w:color="auto"/>
        <w:bottom w:val="none" w:sz="0" w:space="0" w:color="auto"/>
        <w:right w:val="none" w:sz="0" w:space="0" w:color="auto"/>
      </w:divBdr>
    </w:div>
    <w:div w:id="1449932016">
      <w:bodyDiv w:val="1"/>
      <w:marLeft w:val="0"/>
      <w:marRight w:val="0"/>
      <w:marTop w:val="0"/>
      <w:marBottom w:val="0"/>
      <w:divBdr>
        <w:top w:val="none" w:sz="0" w:space="0" w:color="auto"/>
        <w:left w:val="none" w:sz="0" w:space="0" w:color="auto"/>
        <w:bottom w:val="none" w:sz="0" w:space="0" w:color="auto"/>
        <w:right w:val="none" w:sz="0" w:space="0" w:color="auto"/>
      </w:divBdr>
    </w:div>
    <w:div w:id="1474903746">
      <w:bodyDiv w:val="1"/>
      <w:marLeft w:val="0"/>
      <w:marRight w:val="0"/>
      <w:marTop w:val="0"/>
      <w:marBottom w:val="0"/>
      <w:divBdr>
        <w:top w:val="none" w:sz="0" w:space="0" w:color="auto"/>
        <w:left w:val="none" w:sz="0" w:space="0" w:color="auto"/>
        <w:bottom w:val="none" w:sz="0" w:space="0" w:color="auto"/>
        <w:right w:val="none" w:sz="0" w:space="0" w:color="auto"/>
      </w:divBdr>
    </w:div>
    <w:div w:id="1621378652">
      <w:bodyDiv w:val="1"/>
      <w:marLeft w:val="0"/>
      <w:marRight w:val="0"/>
      <w:marTop w:val="0"/>
      <w:marBottom w:val="0"/>
      <w:divBdr>
        <w:top w:val="none" w:sz="0" w:space="0" w:color="auto"/>
        <w:left w:val="none" w:sz="0" w:space="0" w:color="auto"/>
        <w:bottom w:val="none" w:sz="0" w:space="0" w:color="auto"/>
        <w:right w:val="none" w:sz="0" w:space="0" w:color="auto"/>
      </w:divBdr>
    </w:div>
    <w:div w:id="1622498570">
      <w:bodyDiv w:val="1"/>
      <w:marLeft w:val="0"/>
      <w:marRight w:val="0"/>
      <w:marTop w:val="0"/>
      <w:marBottom w:val="0"/>
      <w:divBdr>
        <w:top w:val="none" w:sz="0" w:space="0" w:color="auto"/>
        <w:left w:val="none" w:sz="0" w:space="0" w:color="auto"/>
        <w:bottom w:val="none" w:sz="0" w:space="0" w:color="auto"/>
        <w:right w:val="none" w:sz="0" w:space="0" w:color="auto"/>
      </w:divBdr>
    </w:div>
    <w:div w:id="1699306424">
      <w:bodyDiv w:val="1"/>
      <w:marLeft w:val="0"/>
      <w:marRight w:val="0"/>
      <w:marTop w:val="0"/>
      <w:marBottom w:val="0"/>
      <w:divBdr>
        <w:top w:val="none" w:sz="0" w:space="0" w:color="auto"/>
        <w:left w:val="none" w:sz="0" w:space="0" w:color="auto"/>
        <w:bottom w:val="none" w:sz="0" w:space="0" w:color="auto"/>
        <w:right w:val="none" w:sz="0" w:space="0" w:color="auto"/>
      </w:divBdr>
    </w:div>
    <w:div w:id="1863398996">
      <w:bodyDiv w:val="1"/>
      <w:marLeft w:val="0"/>
      <w:marRight w:val="0"/>
      <w:marTop w:val="0"/>
      <w:marBottom w:val="0"/>
      <w:divBdr>
        <w:top w:val="none" w:sz="0" w:space="0" w:color="auto"/>
        <w:left w:val="none" w:sz="0" w:space="0" w:color="auto"/>
        <w:bottom w:val="none" w:sz="0" w:space="0" w:color="auto"/>
        <w:right w:val="none" w:sz="0" w:space="0" w:color="auto"/>
      </w:divBdr>
    </w:div>
    <w:div w:id="2119133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sever.av.tr" TargetMode="External"/><Relationship Id="rId1" Type="http://schemas.openxmlformats.org/officeDocument/2006/relationships/hyperlink" Target="mailto:info@sever.av.tr"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hurriyet.com.tr/amp/ekonomi/son-dakika-kripto-paralara-duzenleme-geliyor-cumhurbaskani-basdanismani-ertem-cnn-turkte-duyurdu-41795412" TargetMode="External"/><Relationship Id="rId1" Type="http://schemas.openxmlformats.org/officeDocument/2006/relationships/hyperlink" Target="https://politikahaber.org/cumhurbaskani-basdanismani-ertem-kripto-para-duzenlemeleri-yold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328169-A472-42D9-B5D1-ACC532E4E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938</Words>
  <Characters>5348</Characters>
  <Application>Microsoft Office Word</Application>
  <DocSecurity>0</DocSecurity>
  <Lines>44</Lines>
  <Paragraphs>12</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6274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Süleyman Recep Sever</cp:lastModifiedBy>
  <cp:revision>4</cp:revision>
  <dcterms:created xsi:type="dcterms:W3CDTF">2021-04-25T15:18:00Z</dcterms:created>
  <dcterms:modified xsi:type="dcterms:W3CDTF">2021-04-25T15:20:00Z</dcterms:modified>
</cp:coreProperties>
</file>